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8"/>
        <w:rPr>
          <w:rFonts w:ascii="Times New Roman"/>
          <w:sz w:val="15"/>
        </w:rPr>
      </w:pPr>
    </w:p>
    <w:p>
      <w:pPr>
        <w:spacing w:before="0" w:line="922" w:lineRule="exact"/>
        <w:ind w:left="0" w:right="273" w:firstLine="0"/>
        <w:jc w:val="center"/>
        <w:rPr>
          <w:rFonts w:hint="eastAsia" w:ascii="黑体" w:eastAsia="黑体"/>
          <w:b/>
          <w:sz w:val="72"/>
        </w:rPr>
      </w:pPr>
      <w:r>
        <w:rPr>
          <w:rFonts w:hint="eastAsia" w:ascii="黑体" w:eastAsia="黑体"/>
          <w:b/>
          <w:sz w:val="72"/>
        </w:rPr>
        <w:t>2019 年度部门决算公开</w:t>
      </w:r>
    </w:p>
    <w:p>
      <w:pPr>
        <w:pStyle w:val="4"/>
        <w:rPr>
          <w:rFonts w:ascii="黑体"/>
          <w:b/>
          <w:sz w:val="72"/>
        </w:rPr>
      </w:pPr>
    </w:p>
    <w:p>
      <w:pPr>
        <w:pStyle w:val="4"/>
        <w:rPr>
          <w:rFonts w:ascii="黑体"/>
          <w:b/>
          <w:sz w:val="72"/>
        </w:rPr>
      </w:pPr>
    </w:p>
    <w:p>
      <w:pPr>
        <w:pStyle w:val="4"/>
        <w:rPr>
          <w:rFonts w:ascii="黑体"/>
          <w:b/>
          <w:sz w:val="72"/>
        </w:rPr>
      </w:pPr>
    </w:p>
    <w:p>
      <w:pPr>
        <w:pStyle w:val="4"/>
        <w:rPr>
          <w:rFonts w:ascii="黑体"/>
          <w:b/>
          <w:sz w:val="72"/>
        </w:rPr>
      </w:pPr>
    </w:p>
    <w:p>
      <w:pPr>
        <w:pStyle w:val="4"/>
        <w:rPr>
          <w:rFonts w:ascii="黑体"/>
          <w:b/>
          <w:sz w:val="72"/>
        </w:rPr>
      </w:pPr>
    </w:p>
    <w:p>
      <w:pPr>
        <w:pStyle w:val="4"/>
        <w:spacing w:before="12"/>
        <w:rPr>
          <w:rFonts w:ascii="黑体"/>
          <w:b/>
          <w:sz w:val="61"/>
        </w:rPr>
      </w:pPr>
    </w:p>
    <w:p>
      <w:pPr>
        <w:spacing w:before="0" w:line="636" w:lineRule="auto"/>
        <w:ind w:left="1180" w:right="1459" w:firstLine="0"/>
        <w:jc w:val="center"/>
        <w:rPr>
          <w:rFonts w:hint="eastAsia" w:ascii="宋体" w:eastAsia="宋体"/>
          <w:sz w:val="36"/>
        </w:rPr>
      </w:pPr>
      <w:r>
        <w:rPr>
          <w:rFonts w:hint="eastAsia" w:ascii="宋体" w:eastAsia="宋体"/>
          <w:sz w:val="36"/>
        </w:rPr>
        <w:t>临西县卫生健康局（本级）</w:t>
      </w:r>
      <w:r>
        <w:rPr>
          <w:rFonts w:hint="eastAsia" w:ascii="宋体" w:eastAsia="宋体"/>
          <w:color w:val="FF0000"/>
          <w:sz w:val="36"/>
        </w:rPr>
        <w:t xml:space="preserve">（加盖公章） </w:t>
      </w:r>
      <w:r>
        <w:rPr>
          <w:rFonts w:hint="eastAsia" w:ascii="宋体" w:eastAsia="宋体"/>
          <w:sz w:val="36"/>
        </w:rPr>
        <w:t>主要负责人：</w:t>
      </w:r>
      <w:r>
        <w:rPr>
          <w:rFonts w:hint="eastAsia" w:ascii="宋体" w:eastAsia="宋体"/>
          <w:color w:val="FF0000"/>
          <w:sz w:val="36"/>
        </w:rPr>
        <w:t>（签名）</w:t>
      </w:r>
    </w:p>
    <w:p>
      <w:pPr>
        <w:spacing w:before="1"/>
        <w:ind w:left="0" w:right="279" w:firstLine="0"/>
        <w:jc w:val="center"/>
        <w:rPr>
          <w:rFonts w:hint="eastAsia" w:ascii="宋体" w:eastAsia="宋体"/>
          <w:sz w:val="36"/>
        </w:rPr>
      </w:pPr>
      <w:r>
        <w:rPr>
          <w:rFonts w:hint="eastAsia" w:ascii="宋体" w:eastAsia="宋体"/>
          <w:sz w:val="36"/>
        </w:rPr>
        <w:t>二〇二〇年</w:t>
      </w:r>
      <w:r>
        <w:rPr>
          <w:rFonts w:hint="eastAsia" w:ascii="宋体" w:eastAsia="宋体"/>
          <w:sz w:val="36"/>
          <w:lang w:eastAsia="zh-CN"/>
        </w:rPr>
        <w:t>十一</w:t>
      </w:r>
      <w:bookmarkStart w:id="0" w:name="_GoBack"/>
      <w:bookmarkEnd w:id="0"/>
      <w:r>
        <w:rPr>
          <w:rFonts w:hint="eastAsia" w:ascii="宋体" w:eastAsia="宋体"/>
          <w:sz w:val="36"/>
        </w:rPr>
        <w:t>月</w:t>
      </w:r>
    </w:p>
    <w:p>
      <w:pPr>
        <w:spacing w:after="0"/>
        <w:jc w:val="center"/>
        <w:rPr>
          <w:rFonts w:hint="eastAsia" w:ascii="宋体" w:eastAsia="宋体"/>
          <w:sz w:val="36"/>
        </w:rPr>
        <w:sectPr>
          <w:type w:val="continuous"/>
          <w:pgSz w:w="12240" w:h="15840"/>
          <w:pgMar w:top="1500" w:right="1420" w:bottom="280" w:left="1700" w:header="720" w:footer="72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tabs>
          <w:tab w:val="left" w:pos="979"/>
        </w:tabs>
        <w:spacing w:before="204"/>
        <w:ind w:left="0" w:right="275" w:firstLine="0"/>
        <w:jc w:val="center"/>
        <w:rPr>
          <w:rFonts w:hint="eastAsia" w:ascii="黑体" w:eastAsia="黑体"/>
          <w:sz w:val="42"/>
        </w:rPr>
      </w:pPr>
      <w:r>
        <w:rPr>
          <w:rFonts w:hint="eastAsia" w:ascii="黑体" w:eastAsia="黑体"/>
          <w:sz w:val="42"/>
        </w:rPr>
        <w:t>目</w:t>
      </w:r>
      <w:r>
        <w:rPr>
          <w:rFonts w:hint="eastAsia" w:ascii="黑体" w:eastAsia="黑体"/>
          <w:sz w:val="42"/>
        </w:rPr>
        <w:tab/>
      </w:r>
      <w:r>
        <w:rPr>
          <w:rFonts w:hint="eastAsia" w:ascii="黑体" w:eastAsia="黑体"/>
          <w:sz w:val="42"/>
        </w:rPr>
        <w:t>录</w:t>
      </w: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spacing w:before="6"/>
        <w:rPr>
          <w:rFonts w:ascii="黑体"/>
          <w:sz w:val="15"/>
        </w:rPr>
      </w:pPr>
    </w:p>
    <w:p>
      <w:pPr>
        <w:pStyle w:val="4"/>
        <w:tabs>
          <w:tab w:val="left" w:pos="1767"/>
        </w:tabs>
        <w:spacing w:before="53" w:line="379" w:lineRule="auto"/>
        <w:ind w:left="740" w:right="6032" w:hanging="641"/>
      </w:pPr>
      <w:r>
        <w:rPr>
          <w:rFonts w:hint="eastAsia" w:ascii="黑体" w:eastAsia="黑体"/>
        </w:rPr>
        <w:t>第一部分</w:t>
      </w:r>
      <w:r>
        <w:rPr>
          <w:rFonts w:hint="eastAsia" w:ascii="黑体" w:eastAsia="黑体"/>
        </w:rPr>
        <w:tab/>
      </w:r>
      <w:r>
        <w:rPr>
          <w:rFonts w:hint="eastAsia" w:ascii="黑体" w:eastAsia="黑体"/>
        </w:rPr>
        <w:t>部门概</w:t>
      </w:r>
      <w:r>
        <w:rPr>
          <w:rFonts w:hint="eastAsia" w:ascii="黑体" w:eastAsia="黑体"/>
          <w:spacing w:val="-15"/>
        </w:rPr>
        <w:t>况</w:t>
      </w:r>
      <w:r>
        <w:t>一、部门职责 二、机构设置</w:t>
      </w:r>
    </w:p>
    <w:p>
      <w:pPr>
        <w:pStyle w:val="4"/>
        <w:tabs>
          <w:tab w:val="left" w:pos="1767"/>
        </w:tabs>
        <w:spacing w:line="379" w:lineRule="auto"/>
        <w:ind w:left="740" w:right="3639" w:hanging="641"/>
      </w:pPr>
      <w:r>
        <w:rPr>
          <w:rFonts w:hint="eastAsia" w:ascii="黑体" w:eastAsia="黑体"/>
        </w:rPr>
        <w:t>第二部分</w:t>
      </w:r>
      <w:r>
        <w:rPr>
          <w:rFonts w:hint="eastAsia" w:ascii="黑体" w:eastAsia="黑体"/>
        </w:rPr>
        <w:tab/>
      </w:r>
      <w:r>
        <w:rPr>
          <w:rFonts w:hint="eastAsia" w:ascii="黑体" w:eastAsia="黑体"/>
        </w:rPr>
        <w:t>2019</w:t>
      </w:r>
      <w:r>
        <w:rPr>
          <w:rFonts w:hint="eastAsia" w:ascii="黑体" w:eastAsia="黑体"/>
          <w:spacing w:val="-89"/>
        </w:rPr>
        <w:t xml:space="preserve"> </w:t>
      </w:r>
      <w:r>
        <w:rPr>
          <w:rFonts w:hint="eastAsia" w:ascii="黑体" w:eastAsia="黑体"/>
        </w:rPr>
        <w:t>年部门决算情况说</w:t>
      </w:r>
      <w:r>
        <w:rPr>
          <w:rFonts w:hint="eastAsia" w:ascii="黑体" w:eastAsia="黑体"/>
          <w:spacing w:val="-12"/>
        </w:rPr>
        <w:t>明</w:t>
      </w:r>
      <w:r>
        <w:t>一、收入支出决算总体情况说明二、收入决算情况说明</w:t>
      </w:r>
    </w:p>
    <w:p>
      <w:pPr>
        <w:pStyle w:val="4"/>
        <w:ind w:left="740"/>
      </w:pPr>
      <w:r>
        <w:rPr>
          <w:w w:val="95"/>
        </w:rPr>
        <w:t>三、支出决算情况说明</w:t>
      </w:r>
    </w:p>
    <w:p>
      <w:pPr>
        <w:pStyle w:val="4"/>
        <w:spacing w:before="244"/>
        <w:ind w:left="740"/>
      </w:pPr>
      <w:r>
        <w:t>四、财政拨款收入支出决算总体情况说明</w:t>
      </w:r>
    </w:p>
    <w:p>
      <w:pPr>
        <w:pStyle w:val="4"/>
        <w:spacing w:before="247" w:line="379" w:lineRule="auto"/>
        <w:ind w:left="740" w:right="1119"/>
      </w:pPr>
      <w:r>
        <w:rPr>
          <w:w w:val="95"/>
        </w:rPr>
        <w:t xml:space="preserve">五、一般公共预算“三公”经费支出决算情况说明 </w:t>
      </w:r>
      <w:r>
        <w:t>六、预算绩效情况说明</w:t>
      </w:r>
    </w:p>
    <w:p>
      <w:pPr>
        <w:pStyle w:val="4"/>
        <w:spacing w:line="421" w:lineRule="exact"/>
        <w:ind w:left="740"/>
      </w:pPr>
      <w:r>
        <w:t>七、其他重要事项的说明</w:t>
      </w:r>
    </w:p>
    <w:p>
      <w:pPr>
        <w:pStyle w:val="4"/>
        <w:tabs>
          <w:tab w:val="left" w:pos="1676"/>
        </w:tabs>
        <w:spacing w:before="247"/>
        <w:ind w:left="100"/>
        <w:rPr>
          <w:rFonts w:hint="eastAsia" w:ascii="黑体" w:eastAsia="黑体"/>
        </w:rPr>
      </w:pPr>
      <w:r>
        <w:rPr>
          <w:rFonts w:hint="eastAsia" w:ascii="黑体" w:eastAsia="黑体"/>
        </w:rPr>
        <w:t>第三部分</w:t>
      </w:r>
      <w:r>
        <w:rPr>
          <w:rFonts w:hint="eastAsia" w:ascii="黑体" w:eastAsia="黑体"/>
        </w:rPr>
        <w:tab/>
      </w:r>
      <w:r>
        <w:rPr>
          <w:rFonts w:hint="eastAsia" w:ascii="黑体" w:eastAsia="黑体"/>
        </w:rPr>
        <w:t>名词解释</w:t>
      </w:r>
    </w:p>
    <w:p>
      <w:pPr>
        <w:pStyle w:val="4"/>
        <w:tabs>
          <w:tab w:val="left" w:pos="1676"/>
        </w:tabs>
        <w:spacing w:before="244"/>
        <w:ind w:left="100"/>
        <w:rPr>
          <w:rFonts w:hint="eastAsia" w:ascii="黑体" w:eastAsia="黑体"/>
        </w:rPr>
      </w:pPr>
      <w:r>
        <w:rPr>
          <w:rFonts w:hint="eastAsia" w:ascii="黑体" w:eastAsia="黑体"/>
        </w:rPr>
        <w:t>第四部分</w:t>
      </w:r>
      <w:r>
        <w:rPr>
          <w:rFonts w:hint="eastAsia" w:ascii="黑体" w:eastAsia="黑体"/>
        </w:rPr>
        <w:tab/>
      </w:r>
      <w:r>
        <w:rPr>
          <w:rFonts w:hint="eastAsia" w:ascii="黑体" w:eastAsia="黑体"/>
        </w:rPr>
        <w:t>2019</w:t>
      </w:r>
      <w:r>
        <w:rPr>
          <w:rFonts w:hint="eastAsia" w:ascii="黑体" w:eastAsia="黑体"/>
          <w:spacing w:val="-84"/>
        </w:rPr>
        <w:t xml:space="preserve"> </w:t>
      </w:r>
      <w:r>
        <w:rPr>
          <w:rFonts w:hint="eastAsia" w:ascii="黑体" w:eastAsia="黑体"/>
        </w:rPr>
        <w:t>年度部门决算报表</w:t>
      </w:r>
    </w:p>
    <w:p>
      <w:pPr>
        <w:spacing w:after="0"/>
        <w:rPr>
          <w:rFonts w:hint="eastAsia" w:ascii="黑体" w:eastAsia="黑体"/>
        </w:rPr>
        <w:sectPr>
          <w:pgSz w:w="12240" w:h="15840"/>
          <w:pgMar w:top="1500" w:right="1420" w:bottom="280" w:left="1700" w:header="720" w:footer="720" w:gutter="0"/>
          <w:cols w:space="720" w:num="1"/>
        </w:sect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rPr>
          <w:rFonts w:ascii="黑体"/>
          <w:sz w:val="20"/>
        </w:rPr>
      </w:pPr>
    </w:p>
    <w:p>
      <w:pPr>
        <w:pStyle w:val="4"/>
        <w:spacing w:before="1"/>
        <w:rPr>
          <w:rFonts w:ascii="黑体"/>
          <w:sz w:val="19"/>
        </w:rPr>
      </w:pPr>
    </w:p>
    <w:p>
      <w:pPr>
        <w:pStyle w:val="2"/>
        <w:tabs>
          <w:tab w:val="left" w:pos="3441"/>
        </w:tabs>
        <w:spacing w:line="922" w:lineRule="exact"/>
        <w:ind w:right="278"/>
      </w:pPr>
      <w:r>
        <w:t>第一部分</w:t>
      </w:r>
      <w:r>
        <w:tab/>
      </w:r>
      <w:r>
        <w:t>部门概况</w:t>
      </w:r>
    </w:p>
    <w:p>
      <w:pPr>
        <w:spacing w:after="0" w:line="922" w:lineRule="exact"/>
        <w:sectPr>
          <w:pgSz w:w="12240" w:h="15840"/>
          <w:pgMar w:top="1500" w:right="1420" w:bottom="280" w:left="1700" w:header="720" w:footer="720" w:gutter="0"/>
          <w:cols w:space="720" w:num="1"/>
        </w:sectPr>
      </w:pPr>
    </w:p>
    <w:p>
      <w:pPr>
        <w:pStyle w:val="4"/>
        <w:spacing w:before="42"/>
        <w:ind w:left="100"/>
        <w:rPr>
          <w:rFonts w:hint="eastAsia" w:ascii="黑体" w:eastAsia="黑体"/>
        </w:rPr>
      </w:pPr>
      <w:r>
        <w:rPr>
          <w:rFonts w:hint="eastAsia" w:ascii="黑体" w:eastAsia="黑体"/>
        </w:rPr>
        <w:t>一、部门职责</w:t>
      </w:r>
    </w:p>
    <w:p>
      <w:pPr>
        <w:pStyle w:val="8"/>
        <w:numPr>
          <w:ilvl w:val="0"/>
          <w:numId w:val="1"/>
        </w:numPr>
        <w:tabs>
          <w:tab w:val="left" w:pos="879"/>
          <w:tab w:val="left" w:pos="880"/>
        </w:tabs>
        <w:spacing w:before="244" w:after="0" w:line="244" w:lineRule="auto"/>
        <w:ind w:left="100" w:right="649" w:firstLine="0"/>
        <w:jc w:val="left"/>
        <w:rPr>
          <w:sz w:val="33"/>
        </w:rPr>
      </w:pPr>
      <w:r>
        <w:rPr>
          <w:w w:val="95"/>
          <w:sz w:val="33"/>
        </w:rPr>
        <w:t xml:space="preserve">贯彻党和国家的卫生工作方针、政策，统筹安排卫生 </w:t>
      </w:r>
      <w:r>
        <w:rPr>
          <w:sz w:val="33"/>
        </w:rPr>
        <w:t>工作，制定实施卫生发展规划。</w:t>
      </w:r>
    </w:p>
    <w:p>
      <w:pPr>
        <w:pStyle w:val="8"/>
        <w:numPr>
          <w:ilvl w:val="0"/>
          <w:numId w:val="1"/>
        </w:numPr>
        <w:tabs>
          <w:tab w:val="left" w:pos="819"/>
          <w:tab w:val="left" w:pos="820"/>
        </w:tabs>
        <w:spacing w:before="235" w:after="0" w:line="242" w:lineRule="auto"/>
        <w:ind w:left="100" w:right="380" w:firstLine="0"/>
        <w:jc w:val="left"/>
        <w:rPr>
          <w:sz w:val="33"/>
        </w:rPr>
      </w:pPr>
      <w:r>
        <w:rPr>
          <w:w w:val="95"/>
          <w:sz w:val="33"/>
        </w:rPr>
        <w:t xml:space="preserve">依法加强卫生事业管理，实行医疗卫生要素准入制度， </w:t>
      </w:r>
      <w:r>
        <w:rPr>
          <w:sz w:val="33"/>
        </w:rPr>
        <w:t>建立良好的卫生服务秩序。</w:t>
      </w:r>
    </w:p>
    <w:p>
      <w:pPr>
        <w:pStyle w:val="8"/>
        <w:numPr>
          <w:ilvl w:val="0"/>
          <w:numId w:val="1"/>
        </w:numPr>
        <w:tabs>
          <w:tab w:val="left" w:pos="819"/>
          <w:tab w:val="left" w:pos="820"/>
        </w:tabs>
        <w:spacing w:before="242" w:after="0" w:line="240" w:lineRule="auto"/>
        <w:ind w:left="820" w:right="0" w:hanging="720"/>
        <w:jc w:val="left"/>
        <w:rPr>
          <w:sz w:val="33"/>
        </w:rPr>
      </w:pPr>
      <w:r>
        <w:rPr>
          <w:sz w:val="33"/>
        </w:rPr>
        <w:t>组织指导疾病预防控制和妇幼保健工作。</w:t>
      </w:r>
    </w:p>
    <w:p>
      <w:pPr>
        <w:pStyle w:val="8"/>
        <w:numPr>
          <w:ilvl w:val="0"/>
          <w:numId w:val="1"/>
        </w:numPr>
        <w:tabs>
          <w:tab w:val="left" w:pos="819"/>
          <w:tab w:val="left" w:pos="820"/>
        </w:tabs>
        <w:spacing w:before="245" w:after="0" w:line="240" w:lineRule="auto"/>
        <w:ind w:left="820" w:right="0" w:hanging="720"/>
        <w:jc w:val="left"/>
        <w:rPr>
          <w:sz w:val="33"/>
        </w:rPr>
      </w:pPr>
      <w:r>
        <w:rPr>
          <w:sz w:val="33"/>
        </w:rPr>
        <w:t>组织新型农村合作医疗制度的运行、管理、监督工作。</w:t>
      </w:r>
    </w:p>
    <w:p>
      <w:pPr>
        <w:pStyle w:val="8"/>
        <w:numPr>
          <w:ilvl w:val="0"/>
          <w:numId w:val="1"/>
        </w:numPr>
        <w:tabs>
          <w:tab w:val="left" w:pos="819"/>
          <w:tab w:val="left" w:pos="820"/>
        </w:tabs>
        <w:spacing w:before="244" w:after="0" w:line="240" w:lineRule="auto"/>
        <w:ind w:left="820" w:right="0" w:hanging="720"/>
        <w:jc w:val="left"/>
        <w:rPr>
          <w:sz w:val="33"/>
        </w:rPr>
      </w:pPr>
      <w:r>
        <w:rPr>
          <w:sz w:val="33"/>
        </w:rPr>
        <w:t>开展卫生信息调研，负责卫生统计管理。</w:t>
      </w:r>
    </w:p>
    <w:p>
      <w:pPr>
        <w:pStyle w:val="8"/>
        <w:numPr>
          <w:ilvl w:val="0"/>
          <w:numId w:val="1"/>
        </w:numPr>
        <w:tabs>
          <w:tab w:val="left" w:pos="819"/>
          <w:tab w:val="left" w:pos="820"/>
        </w:tabs>
        <w:spacing w:before="247" w:after="0" w:line="240" w:lineRule="auto"/>
        <w:ind w:left="820" w:right="0" w:hanging="720"/>
        <w:jc w:val="left"/>
        <w:rPr>
          <w:sz w:val="33"/>
        </w:rPr>
      </w:pPr>
      <w:r>
        <w:rPr>
          <w:sz w:val="33"/>
        </w:rPr>
        <w:t>贯彻执行卫生法律法规，加强卫生执法监督。</w:t>
      </w:r>
    </w:p>
    <w:p>
      <w:pPr>
        <w:pStyle w:val="8"/>
        <w:numPr>
          <w:ilvl w:val="0"/>
          <w:numId w:val="1"/>
        </w:numPr>
        <w:tabs>
          <w:tab w:val="left" w:pos="819"/>
          <w:tab w:val="left" w:pos="820"/>
        </w:tabs>
        <w:spacing w:before="244" w:after="0" w:line="242" w:lineRule="auto"/>
        <w:ind w:left="100" w:right="709" w:firstLine="0"/>
        <w:jc w:val="left"/>
        <w:rPr>
          <w:sz w:val="33"/>
        </w:rPr>
      </w:pPr>
      <w:r>
        <w:rPr>
          <w:w w:val="95"/>
          <w:sz w:val="33"/>
        </w:rPr>
        <w:t xml:space="preserve">监督实施医务人员资格认可和医疗机构执业许可证制 </w:t>
      </w:r>
      <w:r>
        <w:rPr>
          <w:sz w:val="33"/>
        </w:rPr>
        <w:t>度。</w:t>
      </w:r>
    </w:p>
    <w:p>
      <w:pPr>
        <w:pStyle w:val="8"/>
        <w:numPr>
          <w:ilvl w:val="0"/>
          <w:numId w:val="1"/>
        </w:numPr>
        <w:tabs>
          <w:tab w:val="left" w:pos="819"/>
          <w:tab w:val="left" w:pos="820"/>
        </w:tabs>
        <w:spacing w:before="243" w:after="0" w:line="242" w:lineRule="auto"/>
        <w:ind w:left="100" w:right="380" w:firstLine="0"/>
        <w:jc w:val="left"/>
        <w:rPr>
          <w:sz w:val="33"/>
        </w:rPr>
      </w:pPr>
      <w:r>
        <w:rPr>
          <w:w w:val="95"/>
          <w:sz w:val="33"/>
        </w:rPr>
        <w:t xml:space="preserve">贯彻执行爱国卫生工作方针、政策，协调县政府有关部 </w:t>
      </w:r>
      <w:r>
        <w:rPr>
          <w:sz w:val="33"/>
        </w:rPr>
        <w:t>门开展卫生宣传和全民健康教育工作。</w:t>
      </w:r>
    </w:p>
    <w:p>
      <w:pPr>
        <w:pStyle w:val="8"/>
        <w:numPr>
          <w:ilvl w:val="0"/>
          <w:numId w:val="1"/>
        </w:numPr>
        <w:tabs>
          <w:tab w:val="left" w:pos="819"/>
          <w:tab w:val="left" w:pos="820"/>
        </w:tabs>
        <w:spacing w:before="240" w:after="0" w:line="240" w:lineRule="auto"/>
        <w:ind w:left="820" w:right="0" w:hanging="720"/>
        <w:jc w:val="left"/>
        <w:rPr>
          <w:sz w:val="33"/>
        </w:rPr>
      </w:pPr>
      <w:r>
        <w:rPr>
          <w:sz w:val="33"/>
        </w:rPr>
        <w:t>加强在职人员培训，有计划的培养卫生技术人才。</w:t>
      </w:r>
    </w:p>
    <w:p>
      <w:pPr>
        <w:pStyle w:val="8"/>
        <w:numPr>
          <w:ilvl w:val="0"/>
          <w:numId w:val="1"/>
        </w:numPr>
        <w:tabs>
          <w:tab w:val="left" w:pos="820"/>
        </w:tabs>
        <w:spacing w:before="247" w:after="0" w:line="242" w:lineRule="auto"/>
        <w:ind w:left="100" w:right="380" w:firstLine="0"/>
        <w:jc w:val="left"/>
        <w:rPr>
          <w:sz w:val="33"/>
        </w:rPr>
      </w:pPr>
      <w:r>
        <w:rPr>
          <w:w w:val="95"/>
          <w:sz w:val="33"/>
        </w:rPr>
        <w:t xml:space="preserve">制订全县卫生技术人员职业道德规范，搞好法制教育， </w:t>
      </w:r>
      <w:r>
        <w:rPr>
          <w:sz w:val="33"/>
        </w:rPr>
        <w:t>促进卫生行业的社会主义精神文明建设。</w:t>
      </w:r>
    </w:p>
    <w:p>
      <w:pPr>
        <w:pStyle w:val="8"/>
        <w:numPr>
          <w:ilvl w:val="0"/>
          <w:numId w:val="1"/>
        </w:numPr>
        <w:tabs>
          <w:tab w:val="left" w:pos="820"/>
        </w:tabs>
        <w:spacing w:before="240" w:after="0" w:line="244" w:lineRule="auto"/>
        <w:ind w:left="100" w:right="709" w:firstLine="0"/>
        <w:jc w:val="left"/>
        <w:rPr>
          <w:sz w:val="33"/>
        </w:rPr>
      </w:pPr>
      <w:r>
        <w:rPr>
          <w:w w:val="95"/>
          <w:sz w:val="33"/>
        </w:rPr>
        <w:t xml:space="preserve">协同有关部门组织、指导卫生专业技术职务的评审工 </w:t>
      </w:r>
      <w:r>
        <w:rPr>
          <w:sz w:val="33"/>
        </w:rPr>
        <w:t>作。</w:t>
      </w:r>
    </w:p>
    <w:p>
      <w:pPr>
        <w:pStyle w:val="8"/>
        <w:numPr>
          <w:ilvl w:val="0"/>
          <w:numId w:val="1"/>
        </w:numPr>
        <w:tabs>
          <w:tab w:val="left" w:pos="820"/>
        </w:tabs>
        <w:spacing w:before="235" w:after="0" w:line="240" w:lineRule="auto"/>
        <w:ind w:left="820" w:right="0" w:hanging="720"/>
        <w:jc w:val="left"/>
        <w:rPr>
          <w:sz w:val="33"/>
        </w:rPr>
      </w:pPr>
      <w:r>
        <w:rPr>
          <w:sz w:val="33"/>
        </w:rPr>
        <w:t>承办县政府交办的其他事项。</w:t>
      </w:r>
    </w:p>
    <w:p>
      <w:pPr>
        <w:spacing w:after="0" w:line="240" w:lineRule="auto"/>
        <w:jc w:val="left"/>
        <w:rPr>
          <w:sz w:val="33"/>
        </w:rPr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3"/>
        </w:rPr>
      </w:pPr>
    </w:p>
    <w:p>
      <w:pPr>
        <w:pStyle w:val="4"/>
        <w:spacing w:before="53"/>
        <w:ind w:left="100"/>
        <w:rPr>
          <w:rFonts w:hint="eastAsia" w:ascii="黑体" w:eastAsia="黑体"/>
        </w:rPr>
      </w:pPr>
      <w:r>
        <w:rPr>
          <w:rFonts w:hint="eastAsia" w:ascii="黑体" w:eastAsia="黑体"/>
        </w:rPr>
        <w:t>二、机构设置</w:t>
      </w:r>
    </w:p>
    <w:p>
      <w:pPr>
        <w:pStyle w:val="4"/>
        <w:spacing w:before="247"/>
        <w:ind w:left="100"/>
      </w:pPr>
      <w:r>
        <w:t>从决算编报单位构成看，纳入 2019 年度本部门决算汇编范</w:t>
      </w:r>
    </w:p>
    <w:p>
      <w:pPr>
        <w:pStyle w:val="4"/>
        <w:spacing w:before="4" w:line="242" w:lineRule="auto"/>
        <w:ind w:left="100" w:right="605"/>
      </w:pPr>
      <w:r>
        <w:t>围的独立核算单位（以下简称“单位”）</w:t>
      </w:r>
      <w:r>
        <w:rPr>
          <w:spacing w:val="-45"/>
        </w:rPr>
        <w:t xml:space="preserve">共 </w:t>
      </w:r>
      <w:r>
        <w:t>15</w:t>
      </w:r>
      <w:r>
        <w:rPr>
          <w:spacing w:val="-16"/>
        </w:rPr>
        <w:t xml:space="preserve"> 个，具体情况如下：</w:t>
      </w:r>
    </w:p>
    <w:p>
      <w:pPr>
        <w:pStyle w:val="4"/>
        <w:spacing w:before="243" w:line="242" w:lineRule="auto"/>
        <w:ind w:left="100" w:right="440"/>
        <w:jc w:val="both"/>
      </w:pPr>
      <w:r>
        <w:rPr>
          <w:w w:val="95"/>
        </w:rPr>
        <w:t xml:space="preserve">卫生健康局机关内设办公室、医政股、信息规划股、政策法 规股、疾病预防控制股五个股室。爱卫会、地方病办公室挂 </w:t>
      </w:r>
      <w:r>
        <w:t>靠卫健局（未独立财务核算）。</w:t>
      </w: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6"/>
        </w:rPr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</w:p>
    <w:p>
      <w:pPr>
        <w:pStyle w:val="2"/>
        <w:spacing w:line="922" w:lineRule="exact"/>
      </w:pPr>
      <w:r>
        <w:t>第二部分</w:t>
      </w:r>
    </w:p>
    <w:p>
      <w:pPr>
        <w:pStyle w:val="4"/>
        <w:spacing w:before="11"/>
        <w:rPr>
          <w:rFonts w:ascii="黑体"/>
          <w:sz w:val="59"/>
        </w:rPr>
      </w:pPr>
    </w:p>
    <w:p>
      <w:pPr>
        <w:spacing w:before="0"/>
        <w:ind w:left="0" w:right="280" w:firstLine="0"/>
        <w:jc w:val="center"/>
        <w:rPr>
          <w:rFonts w:hint="eastAsia" w:ascii="黑体" w:eastAsia="黑体"/>
          <w:sz w:val="72"/>
        </w:rPr>
      </w:pPr>
      <w:r>
        <w:rPr>
          <w:rFonts w:hint="eastAsia" w:ascii="黑体" w:eastAsia="黑体"/>
          <w:sz w:val="72"/>
        </w:rPr>
        <w:t>2019 年部门决算情况说明</w:t>
      </w:r>
    </w:p>
    <w:p>
      <w:pPr>
        <w:pStyle w:val="4"/>
        <w:spacing w:before="247"/>
        <w:ind w:left="100"/>
        <w:rPr>
          <w:rFonts w:hint="eastAsia" w:ascii="黑体" w:eastAsia="黑体"/>
        </w:rPr>
      </w:pPr>
      <w:r>
        <w:rPr>
          <w:rFonts w:hint="eastAsia" w:ascii="黑体" w:eastAsia="黑体"/>
        </w:rPr>
        <w:t>一、收入支出决算总体情况说明</w:t>
      </w:r>
    </w:p>
    <w:p>
      <w:pPr>
        <w:pStyle w:val="4"/>
        <w:spacing w:before="247" w:line="242" w:lineRule="auto"/>
        <w:ind w:left="100" w:right="377"/>
        <w:jc w:val="both"/>
      </w:pPr>
      <w:r>
        <w:rPr>
          <w:spacing w:val="-4"/>
        </w:rPr>
        <w:t xml:space="preserve">本部门 </w:t>
      </w:r>
      <w:r>
        <w:t>2019</w:t>
      </w:r>
      <w:r>
        <w:rPr>
          <w:spacing w:val="10"/>
        </w:rPr>
        <w:t xml:space="preserve"> 年度收支总计</w:t>
      </w:r>
      <w:r>
        <w:rPr>
          <w:spacing w:val="26"/>
        </w:rPr>
        <w:t>（含结转和结余</w:t>
      </w:r>
      <w:r>
        <w:rPr>
          <w:spacing w:val="3"/>
        </w:rPr>
        <w:t>）9,599.33</w:t>
      </w:r>
      <w:r>
        <w:rPr>
          <w:spacing w:val="-37"/>
        </w:rPr>
        <w:t xml:space="preserve"> 万</w:t>
      </w:r>
      <w:r>
        <w:rPr>
          <w:spacing w:val="-20"/>
        </w:rPr>
        <w:t xml:space="preserve">元。与 </w:t>
      </w:r>
      <w:r>
        <w:t>2018</w:t>
      </w:r>
      <w:r>
        <w:rPr>
          <w:spacing w:val="-13"/>
        </w:rPr>
        <w:t xml:space="preserve"> 年度决算相比，收支各增加 </w:t>
      </w:r>
      <w:r>
        <w:t>1,243.12</w:t>
      </w:r>
      <w:r>
        <w:rPr>
          <w:spacing w:val="-16"/>
        </w:rPr>
        <w:t xml:space="preserve"> 万元，增</w:t>
      </w:r>
      <w:r>
        <w:rPr>
          <w:spacing w:val="-50"/>
        </w:rPr>
        <w:t xml:space="preserve">长 </w:t>
      </w:r>
      <w:r>
        <w:t>14.88%，主要原因是卫生健康项目增多。</w:t>
      </w:r>
    </w:p>
    <w:p>
      <w:pPr>
        <w:pStyle w:val="4"/>
        <w:spacing w:before="243"/>
        <w:ind w:left="100"/>
        <w:rPr>
          <w:rFonts w:hint="eastAsia" w:ascii="黑体" w:eastAsia="黑体"/>
        </w:rPr>
      </w:pPr>
      <w:r>
        <w:rPr>
          <w:rFonts w:hint="eastAsia" w:ascii="黑体" w:eastAsia="黑体"/>
        </w:rPr>
        <w:t>二、收入决算情况说明</w:t>
      </w:r>
    </w:p>
    <w:p>
      <w:pPr>
        <w:pStyle w:val="4"/>
        <w:spacing w:before="244"/>
        <w:ind w:left="100"/>
        <w:jc w:val="both"/>
      </w:pPr>
      <w:r>
        <w:t>本部门 2019 年度本年收入合计 3,838.25 万元，其中：财政</w:t>
      </w:r>
    </w:p>
    <w:p>
      <w:pPr>
        <w:pStyle w:val="4"/>
        <w:spacing w:before="5" w:line="242" w:lineRule="auto"/>
        <w:ind w:left="100" w:right="375"/>
        <w:jc w:val="both"/>
      </w:pPr>
      <w:r>
        <w:rPr>
          <w:spacing w:val="-7"/>
        </w:rPr>
        <w:t xml:space="preserve">拨款收入 </w:t>
      </w:r>
      <w:r>
        <w:t>3,838.25</w:t>
      </w:r>
      <w:r>
        <w:rPr>
          <w:spacing w:val="-19"/>
        </w:rPr>
        <w:t xml:space="preserve"> 万元，占 </w:t>
      </w:r>
      <w:r>
        <w:rPr>
          <w:spacing w:val="3"/>
        </w:rPr>
        <w:t>100.00</w:t>
      </w:r>
      <w:r>
        <w:rPr>
          <w:spacing w:val="-2"/>
        </w:rPr>
        <w:t xml:space="preserve">%；上级补助收入 </w:t>
      </w:r>
      <w:r>
        <w:t xml:space="preserve">0.00 </w:t>
      </w:r>
      <w:r>
        <w:rPr>
          <w:spacing w:val="-15"/>
        </w:rPr>
        <w:t xml:space="preserve">万元，占 </w:t>
      </w:r>
      <w:r>
        <w:t>0.00</w:t>
      </w:r>
      <w:r>
        <w:rPr>
          <w:spacing w:val="-12"/>
        </w:rPr>
        <w:t xml:space="preserve">%；事业收入 </w:t>
      </w:r>
      <w:r>
        <w:t>0.00</w:t>
      </w:r>
      <w:r>
        <w:rPr>
          <w:spacing w:val="-26"/>
        </w:rPr>
        <w:t xml:space="preserve"> 万元，占 </w:t>
      </w:r>
      <w:r>
        <w:t>0.00%；经营收入0.00</w:t>
      </w:r>
      <w:r>
        <w:rPr>
          <w:spacing w:val="-14"/>
        </w:rPr>
        <w:t xml:space="preserve"> 万元，占 </w:t>
      </w:r>
      <w:r>
        <w:rPr>
          <w:spacing w:val="5"/>
        </w:rPr>
        <w:t>0.00</w:t>
      </w:r>
      <w:r>
        <w:rPr>
          <w:spacing w:val="-2"/>
        </w:rPr>
        <w:t xml:space="preserve">%；其他收入 </w:t>
      </w:r>
      <w:r>
        <w:t>0.00</w:t>
      </w:r>
      <w:r>
        <w:rPr>
          <w:spacing w:val="-15"/>
        </w:rPr>
        <w:t xml:space="preserve"> 万元，占 </w:t>
      </w:r>
      <w:r>
        <w:rPr>
          <w:spacing w:val="3"/>
        </w:rPr>
        <w:t>0.00</w:t>
      </w:r>
      <w:r>
        <w:rPr>
          <w:spacing w:val="4"/>
        </w:rPr>
        <w:t>%。如</w:t>
      </w:r>
      <w:r>
        <w:t>图所示：</w:t>
      </w:r>
    </w:p>
    <w:p>
      <w:pPr>
        <w:spacing w:after="0" w:line="242" w:lineRule="auto"/>
        <w:jc w:val="both"/>
        <w:sectPr>
          <w:pgSz w:w="12240" w:h="15840"/>
          <w:pgMar w:top="1500" w:right="1420" w:bottom="280" w:left="1700" w:header="720" w:footer="720" w:gutter="0"/>
          <w:cols w:space="720" w:num="1"/>
        </w:sectPr>
      </w:pPr>
    </w:p>
    <w:p>
      <w:pPr>
        <w:pStyle w:val="4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461635" cy="63385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11" cy="63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16"/>
        </w:rPr>
      </w:pPr>
    </w:p>
    <w:p>
      <w:pPr>
        <w:spacing w:before="61"/>
        <w:ind w:left="0" w:right="277" w:firstLine="0"/>
        <w:jc w:val="center"/>
        <w:rPr>
          <w:sz w:val="27"/>
        </w:rPr>
      </w:pPr>
      <w:r>
        <w:rPr>
          <w:sz w:val="27"/>
        </w:rPr>
        <w:t>图：收入构成情况(百分比)</w:t>
      </w:r>
    </w:p>
    <w:p>
      <w:pPr>
        <w:pStyle w:val="4"/>
        <w:spacing w:before="3"/>
        <w:rPr>
          <w:sz w:val="19"/>
        </w:rPr>
      </w:pPr>
    </w:p>
    <w:p>
      <w:pPr>
        <w:pStyle w:val="4"/>
        <w:ind w:left="100"/>
        <w:rPr>
          <w:rFonts w:hint="eastAsia" w:ascii="黑体" w:eastAsia="黑体"/>
        </w:rPr>
      </w:pPr>
      <w:r>
        <w:rPr>
          <w:rFonts w:hint="eastAsia" w:ascii="黑体" w:eastAsia="黑体"/>
        </w:rPr>
        <w:t>三、支出决算情况说明</w:t>
      </w:r>
    </w:p>
    <w:p>
      <w:pPr>
        <w:spacing w:after="0"/>
        <w:rPr>
          <w:rFonts w:hint="eastAsia" w:ascii="黑体" w:eastAsia="黑体"/>
        </w:rPr>
        <w:sectPr>
          <w:pgSz w:w="12240" w:h="15840"/>
          <w:pgMar w:top="1440" w:right="1420" w:bottom="280" w:left="1700" w:header="720" w:footer="720" w:gutter="0"/>
          <w:cols w:space="720" w:num="1"/>
        </w:sectPr>
      </w:pPr>
    </w:p>
    <w:p>
      <w:pPr>
        <w:pStyle w:val="4"/>
        <w:spacing w:before="42"/>
        <w:ind w:left="100"/>
      </w:pPr>
      <w:r>
        <w:t>本部门 2019 年度本年支出合计 5,951.64 万元，其中：基本</w:t>
      </w:r>
    </w:p>
    <w:p>
      <w:pPr>
        <w:pStyle w:val="4"/>
        <w:spacing w:before="4" w:line="244" w:lineRule="auto"/>
        <w:ind w:left="100" w:right="377"/>
      </w:pPr>
      <w:r>
        <w:rPr>
          <w:spacing w:val="-17"/>
        </w:rPr>
        <w:t xml:space="preserve">支出 </w:t>
      </w:r>
      <w:r>
        <w:t>607.08</w:t>
      </w:r>
      <w:r>
        <w:rPr>
          <w:spacing w:val="-13"/>
        </w:rPr>
        <w:t xml:space="preserve"> 万元，占 </w:t>
      </w:r>
      <w:r>
        <w:rPr>
          <w:spacing w:val="5"/>
        </w:rPr>
        <w:t>10.20</w:t>
      </w:r>
      <w:r>
        <w:rPr>
          <w:spacing w:val="-1"/>
        </w:rPr>
        <w:t xml:space="preserve">%；项目支出 </w:t>
      </w:r>
      <w:r>
        <w:t>5,344.56</w:t>
      </w:r>
      <w:r>
        <w:rPr>
          <w:spacing w:val="-7"/>
        </w:rPr>
        <w:t xml:space="preserve"> 万元， </w:t>
      </w:r>
      <w:r>
        <w:rPr>
          <w:spacing w:val="-46"/>
        </w:rPr>
        <w:t xml:space="preserve">占 </w:t>
      </w:r>
      <w:r>
        <w:t>89.80</w:t>
      </w:r>
      <w:r>
        <w:rPr>
          <w:spacing w:val="-12"/>
        </w:rPr>
        <w:t xml:space="preserve">%；经营支出 </w:t>
      </w:r>
      <w:r>
        <w:t>0.00</w:t>
      </w:r>
      <w:r>
        <w:rPr>
          <w:spacing w:val="-30"/>
        </w:rPr>
        <w:t xml:space="preserve"> 万元，占 </w:t>
      </w:r>
      <w:r>
        <w:t>0.00%。如图所示：</w: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462270" cy="633920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11" cy="6339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4"/>
        </w:rPr>
      </w:pPr>
    </w:p>
    <w:p>
      <w:pPr>
        <w:spacing w:before="61"/>
        <w:ind w:left="0" w:right="280" w:firstLine="0"/>
        <w:jc w:val="center"/>
        <w:rPr>
          <w:sz w:val="27"/>
        </w:rPr>
      </w:pPr>
      <w:r>
        <w:rPr>
          <w:sz w:val="27"/>
        </w:rPr>
        <w:t>图：支出构成情况（按支出性质 / 百分比）</w:t>
      </w:r>
    </w:p>
    <w:p>
      <w:pPr>
        <w:spacing w:after="0"/>
        <w:jc w:val="center"/>
        <w:rPr>
          <w:sz w:val="27"/>
        </w:rPr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202"/>
        <w:ind w:left="100"/>
        <w:rPr>
          <w:rFonts w:hint="eastAsia" w:ascii="黑体" w:eastAsia="黑体"/>
        </w:rPr>
      </w:pPr>
      <w:r>
        <w:rPr>
          <w:rFonts w:hint="eastAsia" w:ascii="黑体" w:eastAsia="黑体"/>
        </w:rPr>
        <w:t>四、财政拨款收入支出决算总体情况说明</w:t>
      </w:r>
    </w:p>
    <w:p>
      <w:pPr>
        <w:pStyle w:val="3"/>
        <w:spacing w:before="244"/>
      </w:pPr>
      <w:r>
        <w:t>（一）财政拨款收支与 2018 年度决算对比情况</w:t>
      </w:r>
    </w:p>
    <w:p>
      <w:pPr>
        <w:pStyle w:val="4"/>
        <w:spacing w:before="247"/>
        <w:ind w:left="100"/>
        <w:jc w:val="both"/>
      </w:pPr>
      <w:r>
        <w:t>本部门 2019 年度形成的财政拨款收支均为一般公共预算财</w:t>
      </w:r>
    </w:p>
    <w:p>
      <w:pPr>
        <w:pStyle w:val="4"/>
        <w:spacing w:before="4" w:line="242" w:lineRule="auto"/>
        <w:ind w:left="100" w:right="377"/>
        <w:jc w:val="both"/>
      </w:pPr>
      <w:r>
        <w:rPr>
          <w:spacing w:val="-2"/>
        </w:rPr>
        <w:t xml:space="preserve">政拨款，其中本年收入 </w:t>
      </w:r>
      <w:r>
        <w:t>3,838.25</w:t>
      </w:r>
      <w:r>
        <w:rPr>
          <w:spacing w:val="-10"/>
        </w:rPr>
        <w:t xml:space="preserve"> 万元,与 </w:t>
      </w:r>
      <w:r>
        <w:t>2018</w:t>
      </w:r>
      <w:r>
        <w:rPr>
          <w:spacing w:val="-11"/>
        </w:rPr>
        <w:t xml:space="preserve"> 年度相比减</w:t>
      </w:r>
      <w:r>
        <w:rPr>
          <w:spacing w:val="-35"/>
        </w:rPr>
        <w:t xml:space="preserve">少 </w:t>
      </w:r>
      <w:r>
        <w:t>4,501.78</w:t>
      </w:r>
      <w:r>
        <w:rPr>
          <w:spacing w:val="-9"/>
        </w:rPr>
        <w:t xml:space="preserve"> 万 元，降低 </w:t>
      </w:r>
      <w:r>
        <w:rPr>
          <w:spacing w:val="4"/>
        </w:rPr>
        <w:t>53.98</w:t>
      </w:r>
      <w:r>
        <w:rPr>
          <w:spacing w:val="11"/>
        </w:rPr>
        <w:t>%，主要是项目减少；本年</w:t>
      </w:r>
      <w:r>
        <w:rPr>
          <w:spacing w:val="17"/>
        </w:rPr>
        <w:t xml:space="preserve">支出 </w:t>
      </w:r>
      <w:r>
        <w:t>5,951.64</w:t>
      </w:r>
      <w:r>
        <w:rPr>
          <w:spacing w:val="-14"/>
        </w:rPr>
        <w:t xml:space="preserve"> 万元，与 </w:t>
      </w:r>
      <w:r>
        <w:t>2018</w:t>
      </w:r>
      <w:r>
        <w:rPr>
          <w:spacing w:val="-4"/>
        </w:rPr>
        <w:t xml:space="preserve"> 年度相比 增加 </w:t>
      </w:r>
      <w:r>
        <w:t>4,219.86</w:t>
      </w:r>
      <w:r>
        <w:rPr>
          <w:spacing w:val="-39"/>
        </w:rPr>
        <w:t xml:space="preserve"> 万</w:t>
      </w:r>
      <w:r>
        <w:rPr>
          <w:spacing w:val="-17"/>
        </w:rPr>
        <w:t xml:space="preserve">元，增长 </w:t>
      </w:r>
      <w:r>
        <w:t>243.67%，主要是项目成本增加。</w:t>
      </w:r>
    </w:p>
    <w:p>
      <w:pPr>
        <w:spacing w:after="0" w:line="242" w:lineRule="auto"/>
        <w:jc w:val="both"/>
        <w:sectPr>
          <w:pgSz w:w="12240" w:h="15840"/>
          <w:pgMar w:top="1500" w:right="1420" w:bottom="280" w:left="1700" w:header="720" w:footer="720" w:gutter="0"/>
          <w:cols w:space="720" w:num="1"/>
        </w:sectPr>
      </w:pPr>
    </w:p>
    <w:p>
      <w:pPr>
        <w:pStyle w:val="4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461635" cy="635190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11" cy="635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" w:after="1"/>
        <w:rPr>
          <w:sz w:val="21"/>
        </w:rPr>
      </w:pPr>
    </w:p>
    <w:tbl>
      <w:tblPr>
        <w:tblStyle w:val="5"/>
        <w:tblW w:w="0" w:type="auto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5"/>
        <w:gridCol w:w="1285"/>
        <w:gridCol w:w="884"/>
        <w:gridCol w:w="948"/>
        <w:gridCol w:w="1285"/>
        <w:gridCol w:w="1285"/>
        <w:gridCol w:w="884"/>
        <w:gridCol w:w="10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285" w:type="dxa"/>
            <w:shd w:val="clear" w:color="auto" w:fill="EFEFEF"/>
          </w:tcPr>
          <w:p>
            <w:pPr>
              <w:pStyle w:val="9"/>
              <w:ind w:left="147" w:right="140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sz w:val="18"/>
              </w:rPr>
              <w:t xml:space="preserve">2019 </w:t>
            </w:r>
            <w:r>
              <w:rPr>
                <w:rFonts w:hint="eastAsia" w:ascii="宋体" w:eastAsia="宋体"/>
                <w:sz w:val="18"/>
              </w:rPr>
              <w:t>年财政</w:t>
            </w:r>
          </w:p>
          <w:p>
            <w:pPr>
              <w:pStyle w:val="9"/>
              <w:spacing w:before="2" w:line="213" w:lineRule="exact"/>
              <w:ind w:left="147" w:right="140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拨款收入</w:t>
            </w:r>
          </w:p>
        </w:tc>
        <w:tc>
          <w:tcPr>
            <w:tcW w:w="1285" w:type="dxa"/>
            <w:shd w:val="clear" w:color="auto" w:fill="EFEFEF"/>
          </w:tcPr>
          <w:p>
            <w:pPr>
              <w:pStyle w:val="9"/>
              <w:ind w:left="148" w:right="138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sz w:val="18"/>
              </w:rPr>
              <w:t xml:space="preserve">2018 </w:t>
            </w:r>
            <w:r>
              <w:rPr>
                <w:rFonts w:hint="eastAsia" w:ascii="宋体" w:eastAsia="宋体"/>
                <w:sz w:val="18"/>
              </w:rPr>
              <w:t>年财政</w:t>
            </w:r>
          </w:p>
          <w:p>
            <w:pPr>
              <w:pStyle w:val="9"/>
              <w:spacing w:before="2" w:line="213" w:lineRule="exact"/>
              <w:ind w:left="148" w:right="138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拨款收入</w:t>
            </w:r>
          </w:p>
        </w:tc>
        <w:tc>
          <w:tcPr>
            <w:tcW w:w="884" w:type="dxa"/>
            <w:shd w:val="clear" w:color="auto" w:fill="EFEFEF"/>
          </w:tcPr>
          <w:p>
            <w:pPr>
              <w:pStyle w:val="9"/>
              <w:ind w:left="150" w:right="142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收入差</w:t>
            </w:r>
          </w:p>
          <w:p>
            <w:pPr>
              <w:pStyle w:val="9"/>
              <w:spacing w:before="2" w:line="213" w:lineRule="exact"/>
              <w:ind w:left="8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额</w:t>
            </w:r>
          </w:p>
        </w:tc>
        <w:tc>
          <w:tcPr>
            <w:tcW w:w="948" w:type="dxa"/>
            <w:shd w:val="clear" w:color="auto" w:fill="EFEFEF"/>
          </w:tcPr>
          <w:p>
            <w:pPr>
              <w:pStyle w:val="9"/>
              <w:ind w:left="92" w:right="85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收入增减</w:t>
            </w:r>
          </w:p>
          <w:p>
            <w:pPr>
              <w:pStyle w:val="9"/>
              <w:spacing w:before="2" w:line="213" w:lineRule="exact"/>
              <w:ind w:left="92" w:right="82"/>
              <w:jc w:val="center"/>
              <w:rPr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比</w:t>
            </w:r>
            <w:r>
              <w:rPr>
                <w:sz w:val="18"/>
              </w:rPr>
              <w:t>(%)</w:t>
            </w:r>
          </w:p>
        </w:tc>
        <w:tc>
          <w:tcPr>
            <w:tcW w:w="1285" w:type="dxa"/>
            <w:shd w:val="clear" w:color="auto" w:fill="EFEFEF"/>
          </w:tcPr>
          <w:p>
            <w:pPr>
              <w:pStyle w:val="9"/>
              <w:ind w:left="146" w:right="140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sz w:val="18"/>
              </w:rPr>
              <w:t xml:space="preserve">2019 </w:t>
            </w:r>
            <w:r>
              <w:rPr>
                <w:rFonts w:hint="eastAsia" w:ascii="宋体" w:eastAsia="宋体"/>
                <w:sz w:val="18"/>
              </w:rPr>
              <w:t>年财政</w:t>
            </w:r>
          </w:p>
          <w:p>
            <w:pPr>
              <w:pStyle w:val="9"/>
              <w:spacing w:before="2" w:line="213" w:lineRule="exact"/>
              <w:ind w:left="146" w:right="140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拨款支出</w:t>
            </w:r>
          </w:p>
        </w:tc>
        <w:tc>
          <w:tcPr>
            <w:tcW w:w="1285" w:type="dxa"/>
            <w:shd w:val="clear" w:color="auto" w:fill="EFEFEF"/>
          </w:tcPr>
          <w:p>
            <w:pPr>
              <w:pStyle w:val="9"/>
              <w:ind w:left="148" w:right="139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sz w:val="18"/>
              </w:rPr>
              <w:t xml:space="preserve">2018 </w:t>
            </w:r>
            <w:r>
              <w:rPr>
                <w:rFonts w:hint="eastAsia" w:ascii="宋体" w:eastAsia="宋体"/>
                <w:sz w:val="18"/>
              </w:rPr>
              <w:t>年财政</w:t>
            </w:r>
          </w:p>
          <w:p>
            <w:pPr>
              <w:pStyle w:val="9"/>
              <w:spacing w:before="2" w:line="213" w:lineRule="exact"/>
              <w:ind w:left="148" w:right="139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拨款支出</w:t>
            </w:r>
          </w:p>
        </w:tc>
        <w:tc>
          <w:tcPr>
            <w:tcW w:w="884" w:type="dxa"/>
            <w:shd w:val="clear" w:color="auto" w:fill="EFEFEF"/>
          </w:tcPr>
          <w:p>
            <w:pPr>
              <w:pStyle w:val="9"/>
              <w:ind w:left="150" w:right="143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支出差</w:t>
            </w:r>
          </w:p>
          <w:p>
            <w:pPr>
              <w:pStyle w:val="9"/>
              <w:spacing w:before="2" w:line="213" w:lineRule="exact"/>
              <w:ind w:left="7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额</w:t>
            </w:r>
          </w:p>
        </w:tc>
        <w:tc>
          <w:tcPr>
            <w:tcW w:w="1000" w:type="dxa"/>
            <w:shd w:val="clear" w:color="auto" w:fill="EFEFEF"/>
          </w:tcPr>
          <w:p>
            <w:pPr>
              <w:pStyle w:val="9"/>
              <w:ind w:left="118" w:right="111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支出增减</w:t>
            </w:r>
          </w:p>
          <w:p>
            <w:pPr>
              <w:pStyle w:val="9"/>
              <w:spacing w:before="2" w:line="213" w:lineRule="exact"/>
              <w:ind w:left="118" w:right="108"/>
              <w:jc w:val="center"/>
              <w:rPr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比</w:t>
            </w:r>
            <w:r>
              <w:rPr>
                <w:sz w:val="18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285" w:type="dxa"/>
            <w:shd w:val="clear" w:color="auto" w:fill="54FF99"/>
          </w:tcPr>
          <w:p>
            <w:pPr>
              <w:pStyle w:val="9"/>
              <w:spacing w:before="103"/>
              <w:ind w:left="547"/>
              <w:rPr>
                <w:sz w:val="18"/>
              </w:rPr>
            </w:pPr>
            <w:r>
              <w:rPr>
                <w:sz w:val="18"/>
              </w:rPr>
              <w:t>3,838.25</w:t>
            </w:r>
          </w:p>
        </w:tc>
        <w:tc>
          <w:tcPr>
            <w:tcW w:w="1285" w:type="dxa"/>
            <w:shd w:val="clear" w:color="auto" w:fill="54FF99"/>
          </w:tcPr>
          <w:p>
            <w:pPr>
              <w:pStyle w:val="9"/>
              <w:spacing w:before="103"/>
              <w:ind w:left="546"/>
              <w:rPr>
                <w:sz w:val="18"/>
              </w:rPr>
            </w:pPr>
            <w:r>
              <w:rPr>
                <w:sz w:val="18"/>
              </w:rPr>
              <w:t>8,340.03</w:t>
            </w:r>
          </w:p>
        </w:tc>
        <w:tc>
          <w:tcPr>
            <w:tcW w:w="884" w:type="dxa"/>
            <w:shd w:val="clear" w:color="auto" w:fill="54FF99"/>
          </w:tcPr>
          <w:p>
            <w:pPr>
              <w:pStyle w:val="9"/>
              <w:spacing w:before="3" w:line="206" w:lineRule="exact"/>
              <w:ind w:left="144" w:right="79" w:firstLine="571"/>
              <w:rPr>
                <w:sz w:val="18"/>
              </w:rPr>
            </w:pPr>
            <w:r>
              <w:rPr>
                <w:sz w:val="18"/>
              </w:rPr>
              <w:t>- 4,501.78</w:t>
            </w:r>
          </w:p>
        </w:tc>
        <w:tc>
          <w:tcPr>
            <w:tcW w:w="948" w:type="dxa"/>
            <w:shd w:val="clear" w:color="auto" w:fill="54FF99"/>
          </w:tcPr>
          <w:p>
            <w:pPr>
              <w:pStyle w:val="9"/>
              <w:spacing w:before="103"/>
              <w:ind w:left="374"/>
              <w:rPr>
                <w:sz w:val="18"/>
              </w:rPr>
            </w:pPr>
            <w:r>
              <w:rPr>
                <w:sz w:val="18"/>
              </w:rPr>
              <w:t>-53.98</w:t>
            </w:r>
          </w:p>
        </w:tc>
        <w:tc>
          <w:tcPr>
            <w:tcW w:w="1285" w:type="dxa"/>
            <w:shd w:val="clear" w:color="auto" w:fill="54FF99"/>
          </w:tcPr>
          <w:p>
            <w:pPr>
              <w:pStyle w:val="9"/>
              <w:spacing w:before="103"/>
              <w:ind w:left="547"/>
              <w:rPr>
                <w:sz w:val="18"/>
              </w:rPr>
            </w:pPr>
            <w:r>
              <w:rPr>
                <w:sz w:val="18"/>
              </w:rPr>
              <w:t>5,951.64</w:t>
            </w:r>
          </w:p>
        </w:tc>
        <w:tc>
          <w:tcPr>
            <w:tcW w:w="1285" w:type="dxa"/>
            <w:shd w:val="clear" w:color="auto" w:fill="54FF99"/>
          </w:tcPr>
          <w:p>
            <w:pPr>
              <w:pStyle w:val="9"/>
              <w:spacing w:before="103"/>
              <w:ind w:left="546"/>
              <w:rPr>
                <w:sz w:val="18"/>
              </w:rPr>
            </w:pPr>
            <w:r>
              <w:rPr>
                <w:sz w:val="18"/>
              </w:rPr>
              <w:t>1,731.79</w:t>
            </w:r>
          </w:p>
        </w:tc>
        <w:tc>
          <w:tcPr>
            <w:tcW w:w="884" w:type="dxa"/>
            <w:shd w:val="clear" w:color="auto" w:fill="54FF99"/>
          </w:tcPr>
          <w:p>
            <w:pPr>
              <w:pStyle w:val="9"/>
              <w:spacing w:before="103"/>
              <w:ind w:left="144"/>
              <w:rPr>
                <w:sz w:val="18"/>
              </w:rPr>
            </w:pPr>
            <w:r>
              <w:rPr>
                <w:sz w:val="18"/>
              </w:rPr>
              <w:t>4,219.86</w:t>
            </w:r>
          </w:p>
        </w:tc>
        <w:tc>
          <w:tcPr>
            <w:tcW w:w="1000" w:type="dxa"/>
            <w:shd w:val="clear" w:color="auto" w:fill="54FF99"/>
          </w:tcPr>
          <w:p>
            <w:pPr>
              <w:pStyle w:val="9"/>
              <w:spacing w:before="103"/>
              <w:ind w:left="395"/>
              <w:rPr>
                <w:sz w:val="18"/>
              </w:rPr>
            </w:pPr>
            <w:r>
              <w:rPr>
                <w:sz w:val="18"/>
              </w:rPr>
              <w:t>243.67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spacing w:before="8"/>
        <w:rPr>
          <w:sz w:val="15"/>
        </w:rPr>
      </w:pPr>
    </w:p>
    <w:p>
      <w:pPr>
        <w:spacing w:before="61"/>
        <w:ind w:left="0" w:right="280" w:firstLine="0"/>
        <w:jc w:val="center"/>
        <w:rPr>
          <w:sz w:val="27"/>
        </w:rPr>
      </w:pPr>
      <w:r>
        <w:rPr>
          <w:sz w:val="27"/>
        </w:rPr>
        <w:t>图：2018-2019 年财政拨款收支情况（单位：万元）</w:t>
      </w:r>
    </w:p>
    <w:p>
      <w:pPr>
        <w:pStyle w:val="4"/>
        <w:spacing w:before="1"/>
        <w:rPr>
          <w:sz w:val="19"/>
        </w:rPr>
      </w:pPr>
    </w:p>
    <w:p>
      <w:pPr>
        <w:pStyle w:val="3"/>
      </w:pPr>
      <w:r>
        <w:t>（二）财政拨款收支与年初预算数对比情况</w:t>
      </w:r>
    </w:p>
    <w:p>
      <w:pPr>
        <w:spacing w:after="0"/>
        <w:sectPr>
          <w:pgSz w:w="12240" w:h="15840"/>
          <w:pgMar w:top="1440" w:right="1420" w:bottom="280" w:left="1700" w:header="720" w:footer="720" w:gutter="0"/>
          <w:cols w:space="720" w:num="1"/>
        </w:sectPr>
      </w:pPr>
    </w:p>
    <w:p>
      <w:pPr>
        <w:pStyle w:val="4"/>
        <w:spacing w:before="42" w:line="242" w:lineRule="auto"/>
        <w:ind w:left="100" w:right="377"/>
        <w:jc w:val="both"/>
      </w:pPr>
      <w:r>
        <w:rPr>
          <w:spacing w:val="-7"/>
        </w:rPr>
        <w:t xml:space="preserve">本部门 </w:t>
      </w:r>
      <w:r>
        <w:t>2019</w:t>
      </w:r>
      <w:r>
        <w:rPr>
          <w:spacing w:val="5"/>
        </w:rPr>
        <w:t xml:space="preserve"> 年度一般公共预算财政拨款收入 </w:t>
      </w:r>
      <w:r>
        <w:t>3,838.25</w:t>
      </w:r>
      <w:r>
        <w:rPr>
          <w:spacing w:val="-34"/>
        </w:rPr>
        <w:t xml:space="preserve"> 万</w:t>
      </w:r>
      <w:r>
        <w:rPr>
          <w:spacing w:val="23"/>
        </w:rPr>
        <w:t xml:space="preserve">元， 完成年初预算的 </w:t>
      </w:r>
      <w:r>
        <w:t>253.03</w:t>
      </w:r>
      <w:r>
        <w:rPr>
          <w:spacing w:val="17"/>
        </w:rPr>
        <w:t>% ， 与年初预算相比增加2,321.31</w:t>
      </w:r>
      <w:r>
        <w:rPr>
          <w:spacing w:val="3"/>
        </w:rPr>
        <w:t xml:space="preserve"> 万元，决算数大于预算数主要原因是项目增加； </w:t>
      </w:r>
      <w:r>
        <w:rPr>
          <w:spacing w:val="-5"/>
        </w:rPr>
        <w:t xml:space="preserve">本年支出 </w:t>
      </w:r>
      <w:r>
        <w:t>5,951.64</w:t>
      </w:r>
      <w:r>
        <w:rPr>
          <w:spacing w:val="-1"/>
        </w:rPr>
        <w:t xml:space="preserve"> 万元，完成年初预算的 </w:t>
      </w:r>
      <w:r>
        <w:rPr>
          <w:spacing w:val="4"/>
        </w:rPr>
        <w:t>392.34</w:t>
      </w:r>
      <w:r>
        <w:rPr>
          <w:spacing w:val="6"/>
        </w:rPr>
        <w:t>%，与年</w:t>
      </w:r>
      <w:r>
        <w:rPr>
          <w:spacing w:val="-3"/>
        </w:rPr>
        <w:t xml:space="preserve">初预算相比增加 </w:t>
      </w:r>
      <w:r>
        <w:t>4,434.70 万元，决算数大于预算数主要原因是主要是局机关成本耗材、人员支出等增多。</w:t>
      </w:r>
    </w:p>
    <w:p>
      <w:pPr>
        <w:pStyle w:val="4"/>
        <w:spacing w:before="12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154305</wp:posOffset>
            </wp:positionV>
            <wp:extent cx="5423535" cy="630745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472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4"/>
        <w:spacing w:before="11"/>
        <w:rPr>
          <w:sz w:val="16"/>
        </w:rPr>
      </w:pPr>
    </w:p>
    <w:tbl>
      <w:tblPr>
        <w:tblStyle w:val="5"/>
        <w:tblW w:w="0" w:type="auto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"/>
        <w:gridCol w:w="1271"/>
        <w:gridCol w:w="885"/>
        <w:gridCol w:w="1001"/>
        <w:gridCol w:w="1271"/>
        <w:gridCol w:w="1271"/>
        <w:gridCol w:w="885"/>
        <w:gridCol w:w="10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271" w:type="dxa"/>
            <w:shd w:val="clear" w:color="auto" w:fill="EFEFEF"/>
          </w:tcPr>
          <w:p>
            <w:pPr>
              <w:pStyle w:val="9"/>
              <w:ind w:left="185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财政拨款收</w:t>
            </w:r>
          </w:p>
          <w:p>
            <w:pPr>
              <w:pStyle w:val="9"/>
              <w:spacing w:before="2" w:line="213" w:lineRule="exact"/>
              <w:ind w:left="274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入预算数</w:t>
            </w:r>
          </w:p>
        </w:tc>
        <w:tc>
          <w:tcPr>
            <w:tcW w:w="1271" w:type="dxa"/>
            <w:shd w:val="clear" w:color="auto" w:fill="EFEFEF"/>
          </w:tcPr>
          <w:p>
            <w:pPr>
              <w:pStyle w:val="9"/>
              <w:ind w:left="183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财政拨款收</w:t>
            </w:r>
          </w:p>
          <w:p>
            <w:pPr>
              <w:pStyle w:val="9"/>
              <w:spacing w:before="2" w:line="213" w:lineRule="exact"/>
              <w:ind w:left="275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入决算数</w:t>
            </w:r>
          </w:p>
        </w:tc>
        <w:tc>
          <w:tcPr>
            <w:tcW w:w="885" w:type="dxa"/>
            <w:shd w:val="clear" w:color="auto" w:fill="EFEFEF"/>
          </w:tcPr>
          <w:p>
            <w:pPr>
              <w:pStyle w:val="9"/>
              <w:ind w:left="150" w:right="144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收入差</w:t>
            </w:r>
          </w:p>
          <w:p>
            <w:pPr>
              <w:pStyle w:val="9"/>
              <w:spacing w:before="2" w:line="213" w:lineRule="exact"/>
              <w:ind w:left="6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额</w:t>
            </w:r>
          </w:p>
        </w:tc>
        <w:tc>
          <w:tcPr>
            <w:tcW w:w="1001" w:type="dxa"/>
            <w:shd w:val="clear" w:color="auto" w:fill="EFEFEF"/>
          </w:tcPr>
          <w:p>
            <w:pPr>
              <w:pStyle w:val="9"/>
              <w:ind w:right="111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收入增减</w:t>
            </w:r>
          </w:p>
          <w:p>
            <w:pPr>
              <w:pStyle w:val="9"/>
              <w:spacing w:before="2" w:line="213" w:lineRule="exact"/>
              <w:ind w:right="108"/>
              <w:jc w:val="center"/>
              <w:rPr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比</w:t>
            </w:r>
            <w:r>
              <w:rPr>
                <w:sz w:val="18"/>
              </w:rPr>
              <w:t>(%)</w:t>
            </w:r>
          </w:p>
        </w:tc>
        <w:tc>
          <w:tcPr>
            <w:tcW w:w="1271" w:type="dxa"/>
            <w:shd w:val="clear" w:color="auto" w:fill="EFEFEF"/>
          </w:tcPr>
          <w:p>
            <w:pPr>
              <w:pStyle w:val="9"/>
              <w:ind w:left="185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财政拨款支</w:t>
            </w:r>
          </w:p>
          <w:p>
            <w:pPr>
              <w:pStyle w:val="9"/>
              <w:spacing w:before="2" w:line="213" w:lineRule="exact"/>
              <w:ind w:left="274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出预算数</w:t>
            </w:r>
          </w:p>
        </w:tc>
        <w:tc>
          <w:tcPr>
            <w:tcW w:w="1271" w:type="dxa"/>
            <w:shd w:val="clear" w:color="auto" w:fill="EFEFEF"/>
          </w:tcPr>
          <w:p>
            <w:pPr>
              <w:pStyle w:val="9"/>
              <w:ind w:left="183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财政拨款支</w:t>
            </w:r>
          </w:p>
          <w:p>
            <w:pPr>
              <w:pStyle w:val="9"/>
              <w:spacing w:before="2" w:line="213" w:lineRule="exact"/>
              <w:ind w:left="275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出决算数</w:t>
            </w:r>
          </w:p>
        </w:tc>
        <w:tc>
          <w:tcPr>
            <w:tcW w:w="885" w:type="dxa"/>
            <w:shd w:val="clear" w:color="auto" w:fill="EFEFEF"/>
          </w:tcPr>
          <w:p>
            <w:pPr>
              <w:pStyle w:val="9"/>
              <w:ind w:left="150" w:right="144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支出差</w:t>
            </w:r>
          </w:p>
          <w:p>
            <w:pPr>
              <w:pStyle w:val="9"/>
              <w:spacing w:before="2" w:line="213" w:lineRule="exact"/>
              <w:ind w:left="6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额</w:t>
            </w:r>
          </w:p>
        </w:tc>
        <w:tc>
          <w:tcPr>
            <w:tcW w:w="1001" w:type="dxa"/>
            <w:shd w:val="clear" w:color="auto" w:fill="EFEFEF"/>
          </w:tcPr>
          <w:p>
            <w:pPr>
              <w:pStyle w:val="9"/>
              <w:ind w:right="111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支出增减</w:t>
            </w:r>
          </w:p>
          <w:p>
            <w:pPr>
              <w:pStyle w:val="9"/>
              <w:spacing w:before="2" w:line="213" w:lineRule="exact"/>
              <w:ind w:right="108"/>
              <w:jc w:val="center"/>
              <w:rPr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比</w:t>
            </w:r>
            <w:r>
              <w:rPr>
                <w:sz w:val="18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1271" w:type="dxa"/>
            <w:shd w:val="clear" w:color="auto" w:fill="54FF99"/>
          </w:tcPr>
          <w:p>
            <w:pPr>
              <w:pStyle w:val="9"/>
              <w:spacing w:before="0" w:line="187" w:lineRule="exact"/>
              <w:ind w:left="533"/>
              <w:rPr>
                <w:sz w:val="18"/>
              </w:rPr>
            </w:pPr>
            <w:r>
              <w:rPr>
                <w:sz w:val="18"/>
              </w:rPr>
              <w:t>1,516.94</w:t>
            </w:r>
          </w:p>
        </w:tc>
        <w:tc>
          <w:tcPr>
            <w:tcW w:w="1271" w:type="dxa"/>
            <w:shd w:val="clear" w:color="auto" w:fill="54FF99"/>
          </w:tcPr>
          <w:p>
            <w:pPr>
              <w:pStyle w:val="9"/>
              <w:spacing w:before="0" w:line="187" w:lineRule="exact"/>
              <w:ind w:left="531"/>
              <w:rPr>
                <w:sz w:val="18"/>
              </w:rPr>
            </w:pPr>
            <w:r>
              <w:rPr>
                <w:sz w:val="18"/>
              </w:rPr>
              <w:t>3,838.25</w:t>
            </w:r>
          </w:p>
        </w:tc>
        <w:tc>
          <w:tcPr>
            <w:tcW w:w="885" w:type="dxa"/>
            <w:shd w:val="clear" w:color="auto" w:fill="54FF99"/>
          </w:tcPr>
          <w:p>
            <w:pPr>
              <w:pStyle w:val="9"/>
              <w:spacing w:before="0" w:line="187" w:lineRule="exact"/>
              <w:ind w:left="146"/>
              <w:rPr>
                <w:sz w:val="18"/>
              </w:rPr>
            </w:pPr>
            <w:r>
              <w:rPr>
                <w:sz w:val="18"/>
              </w:rPr>
              <w:t>2,321.31</w:t>
            </w:r>
          </w:p>
        </w:tc>
        <w:tc>
          <w:tcPr>
            <w:tcW w:w="1001" w:type="dxa"/>
            <w:shd w:val="clear" w:color="auto" w:fill="54FF99"/>
          </w:tcPr>
          <w:p>
            <w:pPr>
              <w:pStyle w:val="9"/>
              <w:spacing w:before="0" w:line="187" w:lineRule="exact"/>
              <w:ind w:left="396"/>
              <w:rPr>
                <w:sz w:val="18"/>
              </w:rPr>
            </w:pPr>
            <w:r>
              <w:rPr>
                <w:sz w:val="18"/>
              </w:rPr>
              <w:t>153.03</w:t>
            </w:r>
          </w:p>
        </w:tc>
        <w:tc>
          <w:tcPr>
            <w:tcW w:w="1271" w:type="dxa"/>
            <w:shd w:val="clear" w:color="auto" w:fill="54FF99"/>
          </w:tcPr>
          <w:p>
            <w:pPr>
              <w:pStyle w:val="9"/>
              <w:spacing w:before="0" w:line="187" w:lineRule="exact"/>
              <w:ind w:left="533"/>
              <w:rPr>
                <w:sz w:val="18"/>
              </w:rPr>
            </w:pPr>
            <w:r>
              <w:rPr>
                <w:sz w:val="18"/>
              </w:rPr>
              <w:t>1,516.94</w:t>
            </w:r>
          </w:p>
        </w:tc>
        <w:tc>
          <w:tcPr>
            <w:tcW w:w="1271" w:type="dxa"/>
            <w:shd w:val="clear" w:color="auto" w:fill="54FF99"/>
          </w:tcPr>
          <w:p>
            <w:pPr>
              <w:pStyle w:val="9"/>
              <w:spacing w:before="0" w:line="187" w:lineRule="exact"/>
              <w:ind w:left="531"/>
              <w:rPr>
                <w:sz w:val="18"/>
              </w:rPr>
            </w:pPr>
            <w:r>
              <w:rPr>
                <w:sz w:val="18"/>
              </w:rPr>
              <w:t>5,951.64</w:t>
            </w:r>
          </w:p>
        </w:tc>
        <w:tc>
          <w:tcPr>
            <w:tcW w:w="885" w:type="dxa"/>
            <w:shd w:val="clear" w:color="auto" w:fill="54FF99"/>
          </w:tcPr>
          <w:p>
            <w:pPr>
              <w:pStyle w:val="9"/>
              <w:spacing w:before="0" w:line="187" w:lineRule="exact"/>
              <w:ind w:left="146"/>
              <w:rPr>
                <w:sz w:val="18"/>
              </w:rPr>
            </w:pPr>
            <w:r>
              <w:rPr>
                <w:sz w:val="18"/>
              </w:rPr>
              <w:t>4,434.70</w:t>
            </w:r>
          </w:p>
        </w:tc>
        <w:tc>
          <w:tcPr>
            <w:tcW w:w="1001" w:type="dxa"/>
            <w:shd w:val="clear" w:color="auto" w:fill="54FF99"/>
          </w:tcPr>
          <w:p>
            <w:pPr>
              <w:pStyle w:val="9"/>
              <w:spacing w:before="0" w:line="187" w:lineRule="exact"/>
              <w:ind w:left="396"/>
              <w:rPr>
                <w:sz w:val="18"/>
              </w:rPr>
            </w:pPr>
            <w:r>
              <w:rPr>
                <w:sz w:val="18"/>
              </w:rPr>
              <w:t>292.34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spacing w:before="8"/>
        <w:rPr>
          <w:sz w:val="15"/>
        </w:rPr>
      </w:pPr>
    </w:p>
    <w:p>
      <w:pPr>
        <w:spacing w:before="61"/>
        <w:ind w:left="0" w:right="282" w:firstLine="0"/>
        <w:jc w:val="center"/>
        <w:rPr>
          <w:sz w:val="27"/>
        </w:rPr>
      </w:pPr>
      <w:r>
        <w:rPr>
          <w:sz w:val="27"/>
        </w:rPr>
        <w:t>图：财政拨款收支预决算对比情况（单位：万元）</w:t>
      </w:r>
    </w:p>
    <w:p>
      <w:pPr>
        <w:pStyle w:val="4"/>
        <w:spacing w:before="1"/>
        <w:rPr>
          <w:sz w:val="19"/>
        </w:rPr>
      </w:pPr>
    </w:p>
    <w:p>
      <w:pPr>
        <w:pStyle w:val="3"/>
      </w:pPr>
      <w:r>
        <w:t>（三）财政拨款支出决算结构情况。</w:t>
      </w:r>
    </w:p>
    <w:p>
      <w:pPr>
        <w:pStyle w:val="4"/>
        <w:spacing w:before="244" w:line="242" w:lineRule="auto"/>
        <w:ind w:left="100" w:right="377"/>
        <w:jc w:val="both"/>
      </w:pPr>
      <w:r>
        <w:t>2019 年度财政拨款支出 5,951.64 万元，主要用于以下方面：一般公共服务（类）支出 9.02 万元，占 0.15%；社会保障和就业（类）支出 161.30 万元，占 2.71%；卫生健康</w:t>
      </w:r>
    </w:p>
    <w:p>
      <w:pPr>
        <w:pStyle w:val="4"/>
        <w:spacing w:before="3"/>
        <w:ind w:left="100"/>
        <w:jc w:val="both"/>
      </w:pPr>
      <w:r>
        <w:t>（类）支出 5,781.32 万元，占 97.14%；</w:t>
      </w:r>
    </w:p>
    <w:p>
      <w:pPr>
        <w:spacing w:after="0"/>
        <w:jc w:val="both"/>
        <w:sectPr>
          <w:pgSz w:w="12240" w:h="15840"/>
          <w:pgMar w:top="1500" w:right="1420" w:bottom="280" w:left="1700" w:header="720" w:footer="720" w:gutter="0"/>
          <w:cols w:space="720" w:num="1"/>
        </w:sectPr>
      </w:pPr>
    </w:p>
    <w:p>
      <w:pPr>
        <w:pStyle w:val="4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461635" cy="63385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11" cy="63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16"/>
        </w:rPr>
      </w:pPr>
    </w:p>
    <w:p>
      <w:pPr>
        <w:spacing w:before="61"/>
        <w:ind w:left="675" w:right="540" w:firstLine="0"/>
        <w:jc w:val="center"/>
        <w:rPr>
          <w:sz w:val="27"/>
        </w:rPr>
      </w:pPr>
      <w:r>
        <w:rPr>
          <w:sz w:val="27"/>
        </w:rPr>
        <w:t>图：财政拨款支出决算结构（按功能分类 / 百分比）</w:t>
      </w:r>
    </w:p>
    <w:p>
      <w:pPr>
        <w:pStyle w:val="4"/>
        <w:spacing w:before="3"/>
        <w:rPr>
          <w:sz w:val="19"/>
        </w:rPr>
      </w:pPr>
    </w:p>
    <w:p>
      <w:pPr>
        <w:pStyle w:val="3"/>
      </w:pPr>
      <w:r>
        <w:t>（四）一般公共预算基本支出决算情况说明</w:t>
      </w:r>
    </w:p>
    <w:p>
      <w:pPr>
        <w:pStyle w:val="4"/>
        <w:spacing w:before="245"/>
        <w:ind w:left="100"/>
      </w:pPr>
      <w:r>
        <w:t>2019</w:t>
      </w:r>
      <w:r>
        <w:rPr>
          <w:spacing w:val="-7"/>
        </w:rPr>
        <w:t xml:space="preserve"> 年度财政拨款基本支出 </w:t>
      </w:r>
      <w:r>
        <w:t>607.08</w:t>
      </w:r>
      <w:r>
        <w:rPr>
          <w:spacing w:val="-9"/>
        </w:rPr>
        <w:t xml:space="preserve"> 万元，其中：人员经费</w:t>
      </w:r>
    </w:p>
    <w:p>
      <w:pPr>
        <w:pStyle w:val="4"/>
        <w:spacing w:before="4"/>
        <w:ind w:left="100"/>
      </w:pPr>
      <w:r>
        <w:t>504.87</w:t>
      </w:r>
      <w:r>
        <w:rPr>
          <w:spacing w:val="3"/>
        </w:rPr>
        <w:t xml:space="preserve"> 万元，主要包括基本工资、津贴补贴、奖金、伙食</w:t>
      </w:r>
    </w:p>
    <w:p>
      <w:pPr>
        <w:spacing w:after="0"/>
        <w:sectPr>
          <w:pgSz w:w="12240" w:h="15840"/>
          <w:pgMar w:top="1440" w:right="1420" w:bottom="280" w:left="1700" w:header="720" w:footer="720" w:gutter="0"/>
          <w:cols w:space="720" w:num="1"/>
        </w:sectPr>
      </w:pPr>
    </w:p>
    <w:p>
      <w:pPr>
        <w:pStyle w:val="4"/>
        <w:spacing w:before="42" w:line="242" w:lineRule="auto"/>
        <w:ind w:left="100" w:right="377"/>
        <w:jc w:val="both"/>
      </w:pPr>
      <w:r>
        <w:t>补助费、绩效工资、机关事业单位基本养老保险缴费、职业年金缴费、职工基本医疗保险缴费、公务员医疗补助缴费、住房公积金、医疗费、其他社会保障缴费、其他工资福利支出、离休费、退休费、抚恤金、生活补助、医疗费补助、奖励金、其他对个人和家庭的补助支出；公用经费 102.22 万元，主要包括办公费、印刷费、咨询费、手续费、水费、电</w:t>
      </w:r>
      <w:r>
        <w:rPr>
          <w:w w:val="95"/>
        </w:rPr>
        <w:t>费、邮电费、取暖费、物业管理费、差旅费、因公出国</w:t>
      </w:r>
    </w:p>
    <w:p>
      <w:pPr>
        <w:pStyle w:val="4"/>
        <w:spacing w:before="6" w:line="242" w:lineRule="auto"/>
        <w:ind w:left="100" w:right="380"/>
        <w:jc w:val="both"/>
      </w:pPr>
      <w:r>
        <w:t>（</w:t>
      </w:r>
      <w:r>
        <w:rPr>
          <w:spacing w:val="4"/>
        </w:rPr>
        <w:t>境</w:t>
      </w:r>
      <w:r>
        <w:t>）</w:t>
      </w:r>
      <w:r>
        <w:rPr>
          <w:spacing w:val="1"/>
        </w:rPr>
        <w:t>费用、维修</w:t>
      </w:r>
      <w:r>
        <w:t>（</w:t>
      </w:r>
      <w:r>
        <w:rPr>
          <w:spacing w:val="4"/>
        </w:rPr>
        <w:t>护</w:t>
      </w:r>
      <w:r>
        <w:t>）费、租赁费、会议费、培训费、公务接待费、专用材料费、劳务费、委托业务费、工会经费、福利费、公务用车运行维护费、其他交通费用、税金及附加</w:t>
      </w:r>
      <w:r>
        <w:rPr>
          <w:spacing w:val="15"/>
          <w:w w:val="95"/>
        </w:rPr>
        <w:t xml:space="preserve">费用、其他商品和服务支出、办公设备购置、专用设备购 </w:t>
      </w:r>
      <w:r>
        <w:t>置、信息网络及软件购置更新、公务用车购置、其他资本性支出。</w:t>
      </w:r>
    </w:p>
    <w:p>
      <w:pPr>
        <w:pStyle w:val="4"/>
        <w:spacing w:before="246"/>
        <w:ind w:left="100"/>
        <w:jc w:val="both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五、一般公共预算“三公” 经费支出决算情况说明</w:t>
      </w:r>
    </w:p>
    <w:p>
      <w:pPr>
        <w:pStyle w:val="4"/>
        <w:spacing w:before="246" w:line="242" w:lineRule="auto"/>
        <w:ind w:left="100" w:right="377"/>
        <w:jc w:val="both"/>
      </w:pPr>
      <w:r>
        <w:rPr>
          <w:spacing w:val="-20"/>
        </w:rPr>
        <w:t xml:space="preserve">本部门 </w:t>
      </w:r>
      <w:r>
        <w:t>2019</w:t>
      </w:r>
      <w:r>
        <w:rPr>
          <w:spacing w:val="-13"/>
        </w:rPr>
        <w:t xml:space="preserve"> 年度“三公”经费支出共计 </w:t>
      </w:r>
      <w:r>
        <w:t>3.49</w:t>
      </w:r>
      <w:r>
        <w:rPr>
          <w:spacing w:val="-12"/>
        </w:rPr>
        <w:t xml:space="preserve"> 万元，完成预</w:t>
      </w:r>
      <w:r>
        <w:rPr>
          <w:spacing w:val="-26"/>
        </w:rPr>
        <w:t xml:space="preserve">算的 </w:t>
      </w:r>
      <w:r>
        <w:t>99.77%</w:t>
      </w:r>
      <w:r>
        <w:rPr>
          <w:spacing w:val="-9"/>
        </w:rPr>
        <w:t xml:space="preserve">,与预算相比减少 </w:t>
      </w:r>
      <w:r>
        <w:t>0.01</w:t>
      </w:r>
      <w:r>
        <w:rPr>
          <w:spacing w:val="-23"/>
        </w:rPr>
        <w:t xml:space="preserve"> 万元，降低 </w:t>
      </w:r>
      <w:r>
        <w:t>0.23%，主要</w:t>
      </w:r>
      <w:r>
        <w:rPr>
          <w:spacing w:val="-6"/>
        </w:rPr>
        <w:t xml:space="preserve">是压减行政支出，厉行节约；与 </w:t>
      </w:r>
      <w:r>
        <w:t>2018</w:t>
      </w:r>
      <w:r>
        <w:rPr>
          <w:spacing w:val="-21"/>
        </w:rPr>
        <w:t xml:space="preserve"> 年度相比减少 </w:t>
      </w:r>
      <w:r>
        <w:t>4.45</w:t>
      </w:r>
      <w:r>
        <w:rPr>
          <w:spacing w:val="-41"/>
        </w:rPr>
        <w:t xml:space="preserve"> 万</w:t>
      </w:r>
      <w:r>
        <w:rPr>
          <w:spacing w:val="-10"/>
        </w:rPr>
        <w:t xml:space="preserve">元，降低 </w:t>
      </w:r>
      <w:r>
        <w:rPr>
          <w:spacing w:val="4"/>
        </w:rPr>
        <w:t>56.04</w:t>
      </w:r>
      <w:r>
        <w:rPr>
          <w:spacing w:val="9"/>
        </w:rPr>
        <w:t>%，主要是压减行政支出，厉行节约。具体情况如下：</w:t>
      </w:r>
    </w:p>
    <w:p>
      <w:pPr>
        <w:numPr>
          <w:ilvl w:val="0"/>
          <w:numId w:val="2"/>
        </w:numPr>
        <w:spacing w:before="244"/>
        <w:ind w:left="100" w:right="0" w:firstLine="0"/>
        <w:jc w:val="both"/>
        <w:rPr>
          <w:rFonts w:hint="eastAsia" w:ascii="宋体" w:eastAsia="宋体"/>
          <w:b/>
          <w:sz w:val="33"/>
        </w:rPr>
      </w:pPr>
      <w:r>
        <w:rPr>
          <w:rFonts w:hint="eastAsia" w:ascii="宋体" w:eastAsia="宋体"/>
          <w:b/>
          <w:sz w:val="33"/>
        </w:rPr>
        <w:t>因公出国（境）</w:t>
      </w:r>
      <w:r>
        <w:rPr>
          <w:rFonts w:hint="eastAsia" w:ascii="宋体" w:eastAsia="宋体"/>
          <w:b/>
          <w:spacing w:val="-21"/>
          <w:sz w:val="33"/>
        </w:rPr>
        <w:t xml:space="preserve">费支出 </w:t>
      </w:r>
      <w:r>
        <w:rPr>
          <w:rFonts w:hint="eastAsia" w:ascii="宋体" w:eastAsia="宋体"/>
          <w:sz w:val="33"/>
        </w:rPr>
        <w:t>0.00</w:t>
      </w:r>
      <w:r>
        <w:rPr>
          <w:rFonts w:hint="eastAsia" w:ascii="宋体" w:eastAsia="宋体"/>
          <w:spacing w:val="-85"/>
          <w:sz w:val="33"/>
        </w:rPr>
        <w:t xml:space="preserve"> </w:t>
      </w:r>
      <w:r>
        <w:rPr>
          <w:rFonts w:hint="eastAsia" w:ascii="宋体" w:eastAsia="宋体"/>
          <w:b/>
          <w:sz w:val="33"/>
        </w:rPr>
        <w:t>万元。</w:t>
      </w:r>
    </w:p>
    <w:p>
      <w:pPr>
        <w:numPr>
          <w:ilvl w:val="0"/>
          <w:numId w:val="0"/>
        </w:numPr>
        <w:spacing w:before="243"/>
        <w:ind w:left="100" w:leftChars="0" w:right="0" w:rightChars="0"/>
        <w:jc w:val="left"/>
        <w:rPr>
          <w:rFonts w:hint="eastAsia" w:ascii="宋体" w:eastAsia="宋体"/>
          <w:b/>
          <w:sz w:val="33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本部门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201</w:t>
      </w:r>
      <w:r>
        <w:rPr>
          <w:rFonts w:hint="eastAsia" w:ascii="仿宋_GB2312" w:eastAsia="仿宋_GB2312" w:cs="仿宋_GB2312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年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因公出国（境）费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支出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0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万元，较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201</w:t>
      </w:r>
      <w:r>
        <w:rPr>
          <w:rFonts w:hint="eastAsia" w:ascii="仿宋_GB2312" w:eastAsia="仿宋_GB2312" w:cs="仿宋_GB2312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预算数</w:t>
      </w:r>
      <w:r>
        <w:rPr>
          <w:rFonts w:hint="eastAsia" w:ascii="仿宋_GB2312" w:eastAsia="仿宋_GB2312" w:cs="仿宋_GB2312"/>
          <w:sz w:val="32"/>
          <w:szCs w:val="32"/>
          <w:highlight w:val="none"/>
          <w:lang w:eastAsia="zh-CN"/>
        </w:rPr>
        <w:t>、决算数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无变化。原因是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201</w:t>
      </w:r>
      <w:r>
        <w:rPr>
          <w:rFonts w:hint="eastAsia" w:ascii="仿宋_GB2312" w:eastAsia="仿宋_GB2312" w:cs="仿宋_GB2312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年我单位没有因公出国工作计划。</w:t>
      </w:r>
    </w:p>
    <w:p>
      <w:pPr>
        <w:spacing w:before="246"/>
        <w:ind w:right="0"/>
        <w:jc w:val="both"/>
        <w:rPr>
          <w:sz w:val="33"/>
        </w:rPr>
      </w:pPr>
      <w:r>
        <w:rPr>
          <w:rFonts w:hint="eastAsia" w:ascii="宋体" w:eastAsia="宋体"/>
          <w:b/>
          <w:spacing w:val="11"/>
          <w:sz w:val="33"/>
        </w:rPr>
        <w:t>（二</w:t>
      </w:r>
      <w:r>
        <w:rPr>
          <w:rFonts w:hint="eastAsia" w:ascii="宋体" w:eastAsia="宋体"/>
          <w:b/>
          <w:spacing w:val="9"/>
          <w:sz w:val="33"/>
        </w:rPr>
        <w:t>）</w:t>
      </w:r>
      <w:r>
        <w:rPr>
          <w:rFonts w:hint="eastAsia" w:ascii="宋体" w:eastAsia="宋体"/>
          <w:b/>
          <w:spacing w:val="2"/>
          <w:sz w:val="33"/>
        </w:rPr>
        <w:t xml:space="preserve">公务用车购置及运行维护费支出 </w:t>
      </w:r>
      <w:r>
        <w:rPr>
          <w:rFonts w:hint="eastAsia" w:ascii="宋体" w:eastAsia="宋体"/>
          <w:sz w:val="33"/>
        </w:rPr>
        <w:t>3.49</w:t>
      </w:r>
      <w:r>
        <w:rPr>
          <w:rFonts w:hint="eastAsia" w:ascii="宋体" w:eastAsia="宋体"/>
          <w:spacing w:val="-84"/>
          <w:sz w:val="33"/>
        </w:rPr>
        <w:t xml:space="preserve"> </w:t>
      </w:r>
      <w:r>
        <w:rPr>
          <w:rFonts w:hint="eastAsia" w:ascii="宋体" w:eastAsia="宋体"/>
          <w:b/>
          <w:spacing w:val="10"/>
          <w:sz w:val="33"/>
        </w:rPr>
        <w:t>万元。</w:t>
      </w:r>
      <w:r>
        <w:rPr>
          <w:spacing w:val="6"/>
          <w:sz w:val="33"/>
        </w:rPr>
        <w:t>本部门</w:t>
      </w:r>
    </w:p>
    <w:p>
      <w:pPr>
        <w:pStyle w:val="4"/>
        <w:spacing w:before="5" w:line="242" w:lineRule="auto"/>
        <w:ind w:left="100" w:right="376"/>
        <w:jc w:val="both"/>
        <w:rPr>
          <w:b/>
        </w:rPr>
      </w:pPr>
      <w:r>
        <w:t>2019 年度公务用车购置及运行维护费与预算相比减少 0.01 万元，降低 0.23%,主要是压减行政开支，厉行节约；与上年相比减少 2.74 万元， 降低 43.93%, 主要是压减行政开支，厉行节约。</w:t>
      </w:r>
      <w:r>
        <w:rPr>
          <w:b/>
        </w:rPr>
        <w:t>其中：</w:t>
      </w:r>
    </w:p>
    <w:p>
      <w:pPr>
        <w:spacing w:before="243"/>
        <w:ind w:left="100" w:right="0" w:firstLine="0"/>
        <w:jc w:val="both"/>
        <w:rPr>
          <w:sz w:val="33"/>
        </w:rPr>
      </w:pPr>
      <w:r>
        <w:rPr>
          <w:b/>
          <w:spacing w:val="11"/>
          <w:sz w:val="33"/>
        </w:rPr>
        <w:t>公务用车购置费：</w:t>
      </w:r>
      <w:r>
        <w:rPr>
          <w:spacing w:val="-16"/>
          <w:sz w:val="33"/>
        </w:rPr>
        <w:t xml:space="preserve">本部门 </w:t>
      </w:r>
      <w:r>
        <w:rPr>
          <w:sz w:val="33"/>
        </w:rPr>
        <w:t>2019</w:t>
      </w:r>
      <w:r>
        <w:rPr>
          <w:spacing w:val="-10"/>
          <w:sz w:val="33"/>
        </w:rPr>
        <w:t xml:space="preserve"> 年度公务用车购置量 </w:t>
      </w:r>
      <w:r>
        <w:rPr>
          <w:sz w:val="33"/>
        </w:rPr>
        <w:t>0</w:t>
      </w:r>
      <w:r>
        <w:rPr>
          <w:spacing w:val="-24"/>
          <w:sz w:val="33"/>
        </w:rPr>
        <w:t xml:space="preserve"> 辆，</w:t>
      </w:r>
    </w:p>
    <w:p>
      <w:pPr>
        <w:pStyle w:val="4"/>
        <w:spacing w:before="7"/>
        <w:ind w:left="100"/>
        <w:jc w:val="both"/>
      </w:pPr>
      <w:r>
        <w:rPr>
          <w:spacing w:val="1"/>
        </w:rPr>
        <w:t xml:space="preserve">发生“公务用车购置”经费支出 </w:t>
      </w:r>
      <w:r>
        <w:t>0.00</w:t>
      </w:r>
      <w:r>
        <w:rPr>
          <w:spacing w:val="-3"/>
        </w:rPr>
        <w:t xml:space="preserve"> 万元。公务用车购置</w:t>
      </w:r>
    </w:p>
    <w:p>
      <w:pPr>
        <w:spacing w:after="0"/>
        <w:jc w:val="both"/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4"/>
        <w:spacing w:before="42" w:line="242" w:lineRule="auto"/>
        <w:ind w:left="100" w:right="377"/>
        <w:jc w:val="both"/>
      </w:pPr>
      <w:r>
        <w:rPr>
          <w:spacing w:val="-2"/>
        </w:rPr>
        <w:t xml:space="preserve">费支出与预算相比持平 </w:t>
      </w:r>
      <w:r>
        <w:t>0.00</w:t>
      </w:r>
      <w:r>
        <w:rPr>
          <w:spacing w:val="-20"/>
        </w:rPr>
        <w:t xml:space="preserve"> 万元，不变 </w:t>
      </w:r>
      <w:r>
        <w:t>0.00</w:t>
      </w:r>
      <w:r>
        <w:rPr>
          <w:spacing w:val="1"/>
        </w:rPr>
        <w:t>%,主要是压减</w:t>
      </w:r>
      <w:r>
        <w:rPr>
          <w:spacing w:val="19"/>
        </w:rPr>
        <w:t xml:space="preserve">行政开支，厉行节约；与上年相比持平 </w:t>
      </w:r>
      <w:r>
        <w:t>0.00</w:t>
      </w:r>
      <w:r>
        <w:rPr>
          <w:spacing w:val="3"/>
        </w:rPr>
        <w:t xml:space="preserve"> 万元，持平</w:t>
      </w:r>
      <w:r>
        <w:t>0.00%,主要是压减行政开支，厉行节约。</w:t>
      </w:r>
    </w:p>
    <w:p>
      <w:pPr>
        <w:spacing w:before="243"/>
        <w:ind w:left="100" w:right="0" w:firstLine="0"/>
        <w:jc w:val="both"/>
        <w:rPr>
          <w:sz w:val="33"/>
        </w:rPr>
      </w:pPr>
      <w:r>
        <w:rPr>
          <w:b/>
          <w:sz w:val="33"/>
        </w:rPr>
        <w:t>公务用车运行维护费：</w:t>
      </w:r>
      <w:r>
        <w:rPr>
          <w:sz w:val="33"/>
        </w:rPr>
        <w:t>本部门 2019 年度单位公务用车保有</w:t>
      </w:r>
    </w:p>
    <w:p>
      <w:pPr>
        <w:pStyle w:val="4"/>
        <w:spacing w:before="4" w:line="242" w:lineRule="auto"/>
        <w:ind w:left="100" w:right="377"/>
        <w:jc w:val="both"/>
      </w:pPr>
      <w:r>
        <w:rPr>
          <w:spacing w:val="-39"/>
        </w:rPr>
        <w:t xml:space="preserve">量 </w:t>
      </w:r>
      <w:r>
        <w:t>6</w:t>
      </w:r>
      <w:r>
        <w:rPr>
          <w:spacing w:val="-4"/>
        </w:rPr>
        <w:t xml:space="preserve"> 辆。公车运行维护费支出与预算相比减少 </w:t>
      </w:r>
      <w:r>
        <w:t>0.01</w:t>
      </w:r>
      <w:r>
        <w:rPr>
          <w:spacing w:val="-15"/>
        </w:rPr>
        <w:t xml:space="preserve"> 万元， </w:t>
      </w:r>
      <w:r>
        <w:rPr>
          <w:spacing w:val="-25"/>
        </w:rPr>
        <w:t xml:space="preserve">降低 </w:t>
      </w:r>
      <w:r>
        <w:rPr>
          <w:spacing w:val="2"/>
        </w:rPr>
        <w:t>0.23</w:t>
      </w:r>
      <w:r>
        <w:rPr>
          <w:spacing w:val="9"/>
        </w:rPr>
        <w:t>%,主要是压减行政开支，厉行节约；与上年相比</w:t>
      </w:r>
      <w:r>
        <w:rPr>
          <w:spacing w:val="-25"/>
        </w:rPr>
        <w:t xml:space="preserve">减少 </w:t>
      </w:r>
      <w:r>
        <w:t>2.74</w:t>
      </w:r>
      <w:r>
        <w:rPr>
          <w:spacing w:val="-21"/>
        </w:rPr>
        <w:t xml:space="preserve"> 万元，降低 </w:t>
      </w:r>
      <w:r>
        <w:rPr>
          <w:spacing w:val="2"/>
        </w:rPr>
        <w:t>43.93%，主要是压减行政开支，厉行</w:t>
      </w:r>
      <w:r>
        <w:t>节约。</w:t>
      </w:r>
    </w:p>
    <w:p>
      <w:pPr>
        <w:spacing w:before="246"/>
        <w:ind w:left="100" w:right="0" w:firstLine="0"/>
        <w:jc w:val="both"/>
        <w:rPr>
          <w:sz w:val="33"/>
        </w:rPr>
      </w:pPr>
      <w:r>
        <w:rPr>
          <w:rFonts w:hint="eastAsia" w:ascii="宋体" w:eastAsia="宋体"/>
          <w:b/>
          <w:spacing w:val="4"/>
          <w:sz w:val="33"/>
        </w:rPr>
        <w:t>（三）</w:t>
      </w:r>
      <w:r>
        <w:rPr>
          <w:rFonts w:hint="eastAsia" w:ascii="宋体" w:eastAsia="宋体"/>
          <w:b/>
          <w:spacing w:val="-8"/>
          <w:sz w:val="33"/>
        </w:rPr>
        <w:t xml:space="preserve">公务接待费支出 </w:t>
      </w:r>
      <w:r>
        <w:rPr>
          <w:rFonts w:hint="eastAsia" w:ascii="宋体" w:eastAsia="宋体"/>
          <w:sz w:val="33"/>
        </w:rPr>
        <w:t>0.00</w:t>
      </w:r>
      <w:r>
        <w:rPr>
          <w:rFonts w:hint="eastAsia" w:ascii="宋体" w:eastAsia="宋体"/>
          <w:spacing w:val="-84"/>
          <w:sz w:val="33"/>
        </w:rPr>
        <w:t xml:space="preserve"> </w:t>
      </w:r>
      <w:r>
        <w:rPr>
          <w:rFonts w:hint="eastAsia" w:ascii="宋体" w:eastAsia="宋体"/>
          <w:b/>
          <w:spacing w:val="4"/>
          <w:sz w:val="33"/>
        </w:rPr>
        <w:t>万元。</w:t>
      </w:r>
      <w:r>
        <w:rPr>
          <w:spacing w:val="-20"/>
          <w:sz w:val="33"/>
        </w:rPr>
        <w:t xml:space="preserve">本部门 </w:t>
      </w:r>
      <w:r>
        <w:rPr>
          <w:sz w:val="33"/>
        </w:rPr>
        <w:t>2019</w:t>
      </w:r>
      <w:r>
        <w:rPr>
          <w:spacing w:val="-14"/>
          <w:sz w:val="33"/>
        </w:rPr>
        <w:t xml:space="preserve"> 年度公务接</w:t>
      </w:r>
    </w:p>
    <w:p>
      <w:pPr>
        <w:pStyle w:val="4"/>
        <w:spacing w:before="4" w:line="242" w:lineRule="auto"/>
        <w:ind w:left="100" w:right="376"/>
        <w:jc w:val="both"/>
      </w:pPr>
      <w:r>
        <w:rPr>
          <w:spacing w:val="-27"/>
        </w:rPr>
        <w:t xml:space="preserve">待共 </w:t>
      </w:r>
      <w:r>
        <w:t>0</w:t>
      </w:r>
      <w:r>
        <w:rPr>
          <w:spacing w:val="-19"/>
        </w:rPr>
        <w:t xml:space="preserve"> 批次、</w:t>
      </w:r>
      <w:r>
        <w:t>0</w:t>
      </w:r>
      <w:r>
        <w:rPr>
          <w:spacing w:val="-12"/>
        </w:rPr>
        <w:t xml:space="preserve"> 人次。公务接待费支出与预算相比持平 </w:t>
      </w:r>
      <w:r>
        <w:t xml:space="preserve">0.00 </w:t>
      </w:r>
      <w:r>
        <w:rPr>
          <w:spacing w:val="-6"/>
        </w:rPr>
        <w:t xml:space="preserve">万元，不变 </w:t>
      </w:r>
      <w:r>
        <w:rPr>
          <w:spacing w:val="2"/>
        </w:rPr>
        <w:t>0.00</w:t>
      </w:r>
      <w:r>
        <w:rPr>
          <w:spacing w:val="9"/>
        </w:rPr>
        <w:t>%,主要是压减行政开支，厉行节约；与上</w:t>
      </w:r>
      <w:r>
        <w:rPr>
          <w:spacing w:val="-7"/>
        </w:rPr>
        <w:t xml:space="preserve">年度相比减少 </w:t>
      </w:r>
      <w:r>
        <w:t>1.72</w:t>
      </w:r>
      <w:r>
        <w:rPr>
          <w:spacing w:val="-20"/>
        </w:rPr>
        <w:t xml:space="preserve"> 万元，降低 </w:t>
      </w:r>
      <w:r>
        <w:t>100.00%</w:t>
      </w:r>
      <w:r>
        <w:rPr>
          <w:spacing w:val="3"/>
        </w:rPr>
        <w:t>,主要是压减行政开</w:t>
      </w:r>
      <w:r>
        <w:t>支，厉行节约。</w:t>
      </w:r>
    </w:p>
    <w:p>
      <w:pPr>
        <w:pStyle w:val="4"/>
        <w:spacing w:before="243"/>
        <w:ind w:left="100"/>
        <w:rPr>
          <w:rFonts w:hint="eastAsia" w:ascii="黑体" w:eastAsia="黑体"/>
        </w:rPr>
      </w:pPr>
      <w:r>
        <w:rPr>
          <w:rFonts w:hint="eastAsia" w:ascii="黑体" w:eastAsia="黑体"/>
        </w:rPr>
        <w:t>六、预算绩效情况说明</w:t>
      </w:r>
    </w:p>
    <w:p>
      <w:pPr>
        <w:pStyle w:val="3"/>
        <w:numPr>
          <w:ilvl w:val="0"/>
          <w:numId w:val="3"/>
        </w:numPr>
        <w:tabs>
          <w:tab w:val="left" w:pos="597"/>
        </w:tabs>
        <w:spacing w:before="247" w:after="0" w:line="240" w:lineRule="auto"/>
        <w:ind w:left="596" w:right="0" w:hanging="497"/>
        <w:jc w:val="left"/>
        <w:rPr>
          <w:rFonts w:hint="eastAsia" w:ascii="仿宋" w:eastAsia="仿宋"/>
        </w:rPr>
      </w:pPr>
      <w:r>
        <w:rPr>
          <w:rFonts w:hint="eastAsia" w:ascii="仿宋" w:eastAsia="仿宋"/>
        </w:rPr>
        <w:t>预算绩效管理工作开展情况。</w:t>
      </w:r>
    </w:p>
    <w:p>
      <w:pPr>
        <w:pStyle w:val="4"/>
        <w:spacing w:before="244" w:line="242" w:lineRule="auto"/>
        <w:ind w:left="100" w:right="380"/>
        <w:jc w:val="both"/>
      </w:pPr>
      <w:r>
        <w:rPr>
          <w:spacing w:val="3"/>
        </w:rPr>
        <w:t xml:space="preserve">根据预算绩效管理要求，我单位认真梳理 </w:t>
      </w:r>
      <w:r>
        <w:t>2019</w:t>
      </w:r>
      <w:r>
        <w:rPr>
          <w:spacing w:val="-10"/>
        </w:rPr>
        <w:t xml:space="preserve"> 年度项目预</w:t>
      </w:r>
      <w:r>
        <w:rPr>
          <w:spacing w:val="-1"/>
        </w:rPr>
        <w:t xml:space="preserve">算安排资金支出以及年初绩效目标和绩效指标的设定情况， </w:t>
      </w:r>
      <w:r>
        <w:t>成立了预算项目绩效自评工作小组，细化工作方案，组织局属相关科室对基本公共卫生服务、重大公共卫生服务、计划生育服务、妇幼健康服务、其他卫生健康项目开展了部门评</w:t>
      </w:r>
      <w:r>
        <w:rPr>
          <w:spacing w:val="-7"/>
        </w:rPr>
        <w:t xml:space="preserve">价，涉及一般公共预算支出 </w:t>
      </w:r>
      <w:r>
        <w:t>7537.856824</w:t>
      </w:r>
      <w:r>
        <w:rPr>
          <w:spacing w:val="-9"/>
        </w:rPr>
        <w:t xml:space="preserve"> 万元。从评价情况</w:t>
      </w:r>
      <w:r>
        <w:rPr>
          <w:spacing w:val="-1"/>
        </w:rPr>
        <w:t>来看，各项目均能完成年初预算设定的绩效目标，项目执行情况良好。</w:t>
      </w:r>
    </w:p>
    <w:p>
      <w:pPr>
        <w:pStyle w:val="3"/>
        <w:numPr>
          <w:ilvl w:val="0"/>
          <w:numId w:val="3"/>
        </w:numPr>
        <w:tabs>
          <w:tab w:val="left" w:pos="597"/>
        </w:tabs>
        <w:spacing w:before="249" w:after="0" w:line="240" w:lineRule="auto"/>
        <w:ind w:left="596" w:right="0" w:hanging="497"/>
        <w:jc w:val="left"/>
        <w:rPr>
          <w:rFonts w:hint="eastAsia" w:ascii="仿宋" w:eastAsia="仿宋"/>
        </w:rPr>
      </w:pPr>
      <w:r>
        <w:rPr>
          <w:rFonts w:hint="eastAsia" w:ascii="仿宋" w:eastAsia="仿宋"/>
        </w:rPr>
        <w:t>部门决算中项目绩效自评结果。</w:t>
      </w:r>
    </w:p>
    <w:p>
      <w:pPr>
        <w:spacing w:after="0" w:line="240" w:lineRule="auto"/>
        <w:jc w:val="left"/>
        <w:rPr>
          <w:rFonts w:hint="eastAsia" w:ascii="仿宋" w:eastAsia="仿宋"/>
        </w:rPr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spacing w:before="9"/>
        <w:rPr>
          <w:b/>
          <w:sz w:val="15"/>
        </w:rPr>
      </w:pPr>
    </w:p>
    <w:p>
      <w:pPr>
        <w:pStyle w:val="4"/>
        <w:spacing w:before="53" w:line="242" w:lineRule="auto"/>
        <w:ind w:left="100" w:right="380"/>
        <w:jc w:val="both"/>
      </w:pPr>
      <w:r>
        <w:t>本部门在今年部门决算公开中反映基本公共卫生服务项目、重大公共卫生服务项目、计划生育服务项目、妇幼健康服务项目、其他卫生健康项目等 5 个项目绩效自评结果。</w:t>
      </w:r>
    </w:p>
    <w:p>
      <w:pPr>
        <w:pStyle w:val="4"/>
        <w:spacing w:before="242"/>
        <w:ind w:left="100"/>
      </w:pPr>
      <w:r>
        <w:t>1 基本公共卫生服务项目自评综述：根据年初设定的绩效目</w:t>
      </w:r>
    </w:p>
    <w:p>
      <w:pPr>
        <w:pStyle w:val="4"/>
        <w:spacing w:before="5"/>
        <w:ind w:left="100"/>
      </w:pPr>
      <w:r>
        <w:t>标，基本公共卫生服务项目绩效自评得分为 98 分（绩效自</w:t>
      </w:r>
    </w:p>
    <w:p>
      <w:pPr>
        <w:pStyle w:val="4"/>
        <w:spacing w:before="4"/>
        <w:ind w:left="100"/>
      </w:pPr>
      <w:r>
        <w:t>评表附后）。全年预算数为 2049.69 万元，执行数为</w:t>
      </w:r>
    </w:p>
    <w:p>
      <w:pPr>
        <w:pStyle w:val="4"/>
        <w:spacing w:before="7"/>
        <w:ind w:left="100"/>
      </w:pPr>
      <w:r>
        <w:t>2049.69 万元，完成预算的 100%。项目绩效目标完成情</w:t>
      </w:r>
    </w:p>
    <w:p>
      <w:pPr>
        <w:pStyle w:val="4"/>
        <w:spacing w:before="4" w:line="242" w:lineRule="auto"/>
        <w:ind w:left="100" w:right="440"/>
      </w:pPr>
      <w:r>
        <w:rPr>
          <w:w w:val="95"/>
        </w:rPr>
        <w:t>况：建立居民健康档案项目。以妇女、儿童、老年人、残疾 人、慢性病人等人群为重点，居民自愿和社区卫生服务中心</w:t>
      </w:r>
    </w:p>
    <w:p>
      <w:pPr>
        <w:pStyle w:val="4"/>
        <w:spacing w:before="3" w:line="242" w:lineRule="auto"/>
        <w:ind w:left="100" w:right="603"/>
      </w:pPr>
      <w:r>
        <w:t>（乡镇卫生院）引导相结合 ，为辖区内常住居民建立健康档案。 健康教育。内容包括针对健康素养基本知识和技</w:t>
      </w:r>
    </w:p>
    <w:p>
      <w:pPr>
        <w:pStyle w:val="4"/>
        <w:spacing w:line="242" w:lineRule="auto"/>
        <w:ind w:left="100" w:right="440"/>
      </w:pPr>
      <w:r>
        <w:rPr>
          <w:w w:val="95"/>
        </w:rPr>
        <w:t xml:space="preserve">能、优生优育及辖区重点健康问题等内容，向城乡居民提供 健康教育宣传信息和健康教育咨询服务等。免疫规划项目。 内容包括为适龄儿童接种乙肝疫苗、卡介苗、脊灰疫苗、百 白破疫苗、麻疹疫苗、甲肝疫苗、流脑疫苗、乙脑疫苗等国 家免疫规划疫苗等。传染病报告与处理。及时发现、登记并 </w:t>
      </w:r>
      <w:r>
        <w:rPr>
          <w:spacing w:val="-1"/>
        </w:rPr>
        <w:t>报告辖区内发现的传染病病例和疑似病例 ，参与现场疫点</w:t>
      </w:r>
      <w:r>
        <w:rPr>
          <w:spacing w:val="-7"/>
        </w:rPr>
        <w:t xml:space="preserve">处理等。儿童保健。免费为辖区内 </w:t>
      </w:r>
      <w:r>
        <w:t>0－3</w:t>
      </w:r>
      <w:r>
        <w:rPr>
          <w:spacing w:val="-12"/>
        </w:rPr>
        <w:t xml:space="preserve"> 岁儿童提供基本保健服务。妇女保健。内容包括为孕产妇建立保健手册 ，开</w:t>
      </w:r>
      <w:r>
        <w:rPr>
          <w:spacing w:val="-31"/>
        </w:rPr>
        <w:t xml:space="preserve">展至少 </w:t>
      </w:r>
      <w:r>
        <w:t>5</w:t>
      </w:r>
      <w:r>
        <w:rPr>
          <w:spacing w:val="-20"/>
        </w:rPr>
        <w:t xml:space="preserve"> 次孕期保健服务和 </w:t>
      </w:r>
      <w:r>
        <w:t>2</w:t>
      </w:r>
      <w:r>
        <w:rPr>
          <w:spacing w:val="-10"/>
        </w:rPr>
        <w:t xml:space="preserve"> 次产后访视等。老年保健。对</w:t>
      </w:r>
    </w:p>
    <w:p>
      <w:pPr>
        <w:pStyle w:val="4"/>
        <w:spacing w:before="9" w:line="242" w:lineRule="auto"/>
        <w:ind w:left="100" w:right="605"/>
        <w:jc w:val="both"/>
      </w:pPr>
      <w:r>
        <w:rPr>
          <w:spacing w:val="-30"/>
        </w:rPr>
        <w:t xml:space="preserve">辖区 </w:t>
      </w:r>
      <w:r>
        <w:t>65</w:t>
      </w:r>
      <w:r>
        <w:rPr>
          <w:spacing w:val="-10"/>
        </w:rPr>
        <w:t xml:space="preserve"> 岁及以上老年人作登记管理，开展健康危险因素调</w:t>
      </w:r>
      <w:r>
        <w:rPr>
          <w:spacing w:val="-5"/>
        </w:rPr>
        <w:t>查 ，提供疾病预防、自我保健及伤害预防、自救等健康指</w:t>
      </w:r>
      <w:r>
        <w:rPr>
          <w:spacing w:val="-19"/>
        </w:rPr>
        <w:t xml:space="preserve">导。每年为 </w:t>
      </w:r>
      <w:r>
        <w:t>65</w:t>
      </w:r>
      <w:r>
        <w:rPr>
          <w:spacing w:val="-19"/>
        </w:rPr>
        <w:t xml:space="preserve"> 岁及以上老年人作 </w:t>
      </w:r>
      <w:r>
        <w:t>1</w:t>
      </w:r>
      <w:r>
        <w:rPr>
          <w:spacing w:val="-10"/>
        </w:rPr>
        <w:t xml:space="preserve"> 次普通健康体检等。</w:t>
      </w:r>
    </w:p>
    <w:p>
      <w:pPr>
        <w:pStyle w:val="4"/>
        <w:spacing w:before="3" w:line="242" w:lineRule="auto"/>
        <w:ind w:left="100" w:right="440"/>
        <w:jc w:val="both"/>
      </w:pPr>
      <w:r>
        <w:rPr>
          <w:w w:val="95"/>
        </w:rPr>
        <w:t xml:space="preserve">慢性病预防控制项目。内容包括对高血压、糖尿病、重性精 神性病等慢性病高危人群作指导等。康复服务。内容包括为 </w:t>
      </w:r>
      <w:r>
        <w:rPr>
          <w:spacing w:val="-1"/>
        </w:rPr>
        <w:t>辖区内的残疾人作登记与管理 ，为辖区残疾人开展个体化</w:t>
      </w:r>
    </w:p>
    <w:p>
      <w:pPr>
        <w:spacing w:after="0" w:line="242" w:lineRule="auto"/>
        <w:jc w:val="both"/>
        <w:sectPr>
          <w:pgSz w:w="12240" w:h="15840"/>
          <w:pgMar w:top="1500" w:right="1420" w:bottom="280" w:left="1700" w:header="720" w:footer="720" w:gutter="0"/>
          <w:cols w:space="720" w:num="1"/>
        </w:sectPr>
      </w:pPr>
    </w:p>
    <w:p>
      <w:pPr>
        <w:pStyle w:val="4"/>
        <w:spacing w:before="42" w:line="242" w:lineRule="auto"/>
        <w:ind w:left="100" w:right="440"/>
      </w:pPr>
      <w:r>
        <w:rPr>
          <w:spacing w:val="-1"/>
        </w:rPr>
        <w:t>康复训练等。突发公共卫生事件管理。 内容包括突发公共</w:t>
      </w:r>
      <w:r>
        <w:rPr>
          <w:spacing w:val="-1"/>
          <w:w w:val="95"/>
        </w:rPr>
        <w:t xml:space="preserve">卫生事件的报告和监测。基本医疗急救自救服务。内容包括 建立延伸至县、乡医疗卫生机构的城乡医疗紧急救援联动体 </w:t>
      </w:r>
      <w:r>
        <w:rPr>
          <w:spacing w:val="-1"/>
        </w:rPr>
        <w:t>系。均已完成指标任务。</w:t>
      </w:r>
    </w:p>
    <w:p>
      <w:pPr>
        <w:pStyle w:val="8"/>
        <w:numPr>
          <w:ilvl w:val="0"/>
          <w:numId w:val="4"/>
        </w:numPr>
        <w:tabs>
          <w:tab w:val="left" w:pos="820"/>
        </w:tabs>
        <w:spacing w:before="243" w:after="0" w:line="244" w:lineRule="auto"/>
        <w:ind w:left="100" w:right="380" w:firstLine="0"/>
        <w:jc w:val="both"/>
        <w:rPr>
          <w:sz w:val="33"/>
        </w:rPr>
      </w:pPr>
      <w:r>
        <w:rPr>
          <w:w w:val="95"/>
          <w:sz w:val="33"/>
        </w:rPr>
        <w:t xml:space="preserve">重大公共卫生服务项目绩效自评综述：根据年初设定的 </w:t>
      </w:r>
      <w:r>
        <w:rPr>
          <w:spacing w:val="17"/>
          <w:sz w:val="33"/>
        </w:rPr>
        <w:t xml:space="preserve">绩效目标，重大公共卫生服务项目绩效自评得分为 </w:t>
      </w:r>
      <w:r>
        <w:rPr>
          <w:sz w:val="33"/>
        </w:rPr>
        <w:t>98</w:t>
      </w:r>
      <w:r>
        <w:rPr>
          <w:spacing w:val="-36"/>
          <w:sz w:val="33"/>
        </w:rPr>
        <w:t xml:space="preserve"> 分</w:t>
      </w:r>
    </w:p>
    <w:p>
      <w:pPr>
        <w:pStyle w:val="4"/>
        <w:spacing w:line="242" w:lineRule="auto"/>
        <w:ind w:left="100" w:right="377"/>
        <w:jc w:val="both"/>
      </w:pPr>
      <w:r>
        <w:t>（绩效自评表附后）。全年预算数为 189.49 万元，执行数为 189.49 万元，完成预算的 100%。项目绩效目标完成情况：一是艾滋病项目、结核病项目、慢性病防控能力建设、精神障碍管理治疗均已完成指标任务；二是重大传染病防控能力建设已按方案要求完成指标任务。</w:t>
      </w:r>
    </w:p>
    <w:p>
      <w:pPr>
        <w:pStyle w:val="8"/>
        <w:numPr>
          <w:ilvl w:val="0"/>
          <w:numId w:val="4"/>
        </w:numPr>
        <w:tabs>
          <w:tab w:val="left" w:pos="820"/>
        </w:tabs>
        <w:spacing w:before="240" w:after="0" w:line="242" w:lineRule="auto"/>
        <w:ind w:left="100" w:right="377" w:firstLine="0"/>
        <w:jc w:val="both"/>
        <w:rPr>
          <w:sz w:val="33"/>
        </w:rPr>
      </w:pPr>
      <w:r>
        <w:rPr>
          <w:w w:val="95"/>
          <w:sz w:val="33"/>
        </w:rPr>
        <w:t xml:space="preserve">根据年初设定的绩效目标，妇幼健康服务项目绩效自评 </w:t>
      </w:r>
      <w:r>
        <w:rPr>
          <w:spacing w:val="-20"/>
          <w:sz w:val="33"/>
        </w:rPr>
        <w:t xml:space="preserve">得分为 </w:t>
      </w:r>
      <w:r>
        <w:rPr>
          <w:sz w:val="33"/>
        </w:rPr>
        <w:t>98</w:t>
      </w:r>
      <w:r>
        <w:rPr>
          <w:spacing w:val="-39"/>
          <w:sz w:val="33"/>
        </w:rPr>
        <w:t xml:space="preserve"> 分</w:t>
      </w:r>
      <w:r>
        <w:rPr>
          <w:sz w:val="33"/>
        </w:rPr>
        <w:t>（</w:t>
      </w:r>
      <w:r>
        <w:rPr>
          <w:spacing w:val="1"/>
          <w:sz w:val="33"/>
        </w:rPr>
        <w:t>绩效自评表附后</w:t>
      </w:r>
      <w:r>
        <w:rPr>
          <w:spacing w:val="4"/>
          <w:sz w:val="33"/>
        </w:rPr>
        <w:t>）</w:t>
      </w:r>
      <w:r>
        <w:rPr>
          <w:spacing w:val="-11"/>
          <w:sz w:val="33"/>
        </w:rPr>
        <w:t xml:space="preserve">。全年预算数为 </w:t>
      </w:r>
      <w:r>
        <w:rPr>
          <w:sz w:val="33"/>
        </w:rPr>
        <w:t>396.65</w:t>
      </w:r>
      <w:r>
        <w:rPr>
          <w:spacing w:val="-41"/>
          <w:sz w:val="33"/>
        </w:rPr>
        <w:t xml:space="preserve"> 万</w:t>
      </w:r>
      <w:r>
        <w:rPr>
          <w:spacing w:val="-12"/>
          <w:sz w:val="33"/>
        </w:rPr>
        <w:t xml:space="preserve">元，执行数为 </w:t>
      </w:r>
      <w:r>
        <w:rPr>
          <w:sz w:val="33"/>
        </w:rPr>
        <w:t>396.65</w:t>
      </w:r>
      <w:r>
        <w:rPr>
          <w:spacing w:val="-8"/>
          <w:sz w:val="33"/>
        </w:rPr>
        <w:t xml:space="preserve"> 万元，完成预算的 </w:t>
      </w:r>
      <w:r>
        <w:rPr>
          <w:sz w:val="33"/>
        </w:rPr>
        <w:t>100%。项目绩效目</w:t>
      </w:r>
      <w:r>
        <w:rPr>
          <w:spacing w:val="5"/>
          <w:sz w:val="33"/>
        </w:rPr>
        <w:t>标完成情况：</w:t>
      </w:r>
      <w:r>
        <w:rPr>
          <w:sz w:val="33"/>
        </w:rPr>
        <w:t>2019</w:t>
      </w:r>
      <w:r>
        <w:rPr>
          <w:spacing w:val="-9"/>
          <w:sz w:val="33"/>
        </w:rPr>
        <w:t xml:space="preserve"> 年共进行新生儿疾病筛查 </w:t>
      </w:r>
      <w:r>
        <w:rPr>
          <w:sz w:val="33"/>
        </w:rPr>
        <w:t>2776</w:t>
      </w:r>
      <w:r>
        <w:rPr>
          <w:spacing w:val="-15"/>
          <w:sz w:val="33"/>
        </w:rPr>
        <w:t xml:space="preserve"> 人次，唐</w:t>
      </w:r>
      <w:r>
        <w:rPr>
          <w:spacing w:val="-5"/>
          <w:sz w:val="33"/>
        </w:rPr>
        <w:t xml:space="preserve">氏综合征筛查 </w:t>
      </w:r>
      <w:r>
        <w:rPr>
          <w:sz w:val="33"/>
        </w:rPr>
        <w:t>1528</w:t>
      </w:r>
      <w:r>
        <w:rPr>
          <w:spacing w:val="-12"/>
          <w:sz w:val="33"/>
        </w:rPr>
        <w:t xml:space="preserve"> 人次，无创筛查 </w:t>
      </w:r>
      <w:r>
        <w:rPr>
          <w:sz w:val="33"/>
        </w:rPr>
        <w:t>695</w:t>
      </w:r>
      <w:r>
        <w:rPr>
          <w:spacing w:val="-2"/>
          <w:sz w:val="33"/>
        </w:rPr>
        <w:t xml:space="preserve"> 人次，两癌乳腺筛</w:t>
      </w:r>
      <w:r>
        <w:rPr>
          <w:spacing w:val="-43"/>
          <w:sz w:val="33"/>
        </w:rPr>
        <w:t xml:space="preserve">查 </w:t>
      </w:r>
      <w:r>
        <w:rPr>
          <w:sz w:val="33"/>
        </w:rPr>
        <w:t>9442</w:t>
      </w:r>
      <w:r>
        <w:rPr>
          <w:spacing w:val="-19"/>
          <w:sz w:val="33"/>
        </w:rPr>
        <w:t xml:space="preserve"> 人次，宫颈癌筛查 </w:t>
      </w:r>
      <w:r>
        <w:rPr>
          <w:sz w:val="33"/>
        </w:rPr>
        <w:t>9420</w:t>
      </w:r>
      <w:r>
        <w:rPr>
          <w:spacing w:val="-21"/>
          <w:sz w:val="33"/>
        </w:rPr>
        <w:t xml:space="preserve"> 人次。</w:t>
      </w:r>
    </w:p>
    <w:p>
      <w:pPr>
        <w:pStyle w:val="8"/>
        <w:numPr>
          <w:ilvl w:val="0"/>
          <w:numId w:val="4"/>
        </w:numPr>
        <w:tabs>
          <w:tab w:val="left" w:pos="820"/>
        </w:tabs>
        <w:spacing w:before="246" w:after="0" w:line="242" w:lineRule="auto"/>
        <w:ind w:left="100" w:right="375" w:firstLine="0"/>
        <w:jc w:val="both"/>
        <w:rPr>
          <w:sz w:val="33"/>
        </w:rPr>
      </w:pPr>
      <w:r>
        <w:rPr>
          <w:w w:val="95"/>
          <w:sz w:val="33"/>
        </w:rPr>
        <w:t xml:space="preserve">根据年初设定的绩效目标，计划生育服务项目绩效自评 </w:t>
      </w:r>
      <w:r>
        <w:rPr>
          <w:spacing w:val="-11"/>
          <w:sz w:val="33"/>
        </w:rPr>
        <w:t xml:space="preserve">得分为 </w:t>
      </w:r>
      <w:r>
        <w:rPr>
          <w:sz w:val="33"/>
        </w:rPr>
        <w:t>98</w:t>
      </w:r>
      <w:r>
        <w:rPr>
          <w:spacing w:val="-30"/>
          <w:sz w:val="33"/>
        </w:rPr>
        <w:t xml:space="preserve"> 分</w:t>
      </w:r>
      <w:r>
        <w:rPr>
          <w:spacing w:val="14"/>
          <w:sz w:val="33"/>
        </w:rPr>
        <w:t>（绩效自评表附后）</w:t>
      </w:r>
      <w:r>
        <w:rPr>
          <w:spacing w:val="1"/>
          <w:sz w:val="33"/>
        </w:rPr>
        <w:t xml:space="preserve">。全年预算数为 </w:t>
      </w:r>
      <w:r>
        <w:rPr>
          <w:sz w:val="33"/>
        </w:rPr>
        <w:t xml:space="preserve">295.595 </w:t>
      </w:r>
      <w:r>
        <w:rPr>
          <w:spacing w:val="-2"/>
          <w:sz w:val="33"/>
        </w:rPr>
        <w:t xml:space="preserve">万元，执行数为 </w:t>
      </w:r>
      <w:r>
        <w:rPr>
          <w:sz w:val="33"/>
        </w:rPr>
        <w:t>295.595</w:t>
      </w:r>
      <w:r>
        <w:rPr>
          <w:spacing w:val="-1"/>
          <w:sz w:val="33"/>
        </w:rPr>
        <w:t xml:space="preserve"> 万元，完成预算的 </w:t>
      </w:r>
      <w:r>
        <w:rPr>
          <w:spacing w:val="3"/>
          <w:sz w:val="33"/>
        </w:rPr>
        <w:t>100</w:t>
      </w:r>
      <w:r>
        <w:rPr>
          <w:spacing w:val="6"/>
          <w:sz w:val="33"/>
        </w:rPr>
        <w:t>%。项目绩</w:t>
      </w:r>
      <w:r>
        <w:rPr>
          <w:spacing w:val="17"/>
          <w:sz w:val="33"/>
        </w:rPr>
        <w:t xml:space="preserve">效目标完成情况： </w:t>
      </w:r>
      <w:r>
        <w:rPr>
          <w:sz w:val="33"/>
        </w:rPr>
        <w:t>2019</w:t>
      </w:r>
      <w:r>
        <w:rPr>
          <w:spacing w:val="8"/>
          <w:sz w:val="33"/>
        </w:rPr>
        <w:t xml:space="preserve"> 年奖励扶助 </w:t>
      </w:r>
      <w:r>
        <w:rPr>
          <w:sz w:val="33"/>
        </w:rPr>
        <w:t>1122</w:t>
      </w:r>
      <w:r>
        <w:rPr>
          <w:spacing w:val="-3"/>
          <w:sz w:val="33"/>
        </w:rPr>
        <w:t xml:space="preserve"> 人， 补助金额107.712</w:t>
      </w:r>
      <w:r>
        <w:rPr>
          <w:spacing w:val="-6"/>
          <w:sz w:val="33"/>
        </w:rPr>
        <w:t xml:space="preserve"> 万元；手术并发症 </w:t>
      </w:r>
      <w:r>
        <w:rPr>
          <w:sz w:val="33"/>
        </w:rPr>
        <w:t>8</w:t>
      </w:r>
      <w:r>
        <w:rPr>
          <w:spacing w:val="-9"/>
          <w:sz w:val="33"/>
        </w:rPr>
        <w:t xml:space="preserve"> 人，补助金额 </w:t>
      </w:r>
      <w:r>
        <w:rPr>
          <w:sz w:val="33"/>
        </w:rPr>
        <w:t>2.52</w:t>
      </w:r>
      <w:r>
        <w:rPr>
          <w:spacing w:val="-6"/>
          <w:sz w:val="33"/>
        </w:rPr>
        <w:t xml:space="preserve"> 万元；特</w:t>
      </w:r>
      <w:r>
        <w:rPr>
          <w:spacing w:val="-17"/>
          <w:sz w:val="33"/>
        </w:rPr>
        <w:t xml:space="preserve">别扶助 </w:t>
      </w:r>
      <w:r>
        <w:rPr>
          <w:sz w:val="33"/>
        </w:rPr>
        <w:t>55</w:t>
      </w:r>
      <w:r>
        <w:rPr>
          <w:spacing w:val="-17"/>
          <w:sz w:val="33"/>
        </w:rPr>
        <w:t xml:space="preserve"> 人，补助金额 </w:t>
      </w:r>
      <w:r>
        <w:rPr>
          <w:sz w:val="33"/>
        </w:rPr>
        <w:t>28.62</w:t>
      </w:r>
      <w:r>
        <w:rPr>
          <w:spacing w:val="-9"/>
          <w:sz w:val="33"/>
        </w:rPr>
        <w:t xml:space="preserve"> 万元；独生子女补助金额 </w:t>
      </w:r>
      <w:r>
        <w:rPr>
          <w:spacing w:val="-6"/>
          <w:sz w:val="33"/>
        </w:rPr>
        <w:t xml:space="preserve">15 </w:t>
      </w:r>
      <w:r>
        <w:rPr>
          <w:spacing w:val="10"/>
          <w:sz w:val="33"/>
        </w:rPr>
        <w:t>万元；</w:t>
      </w:r>
      <w:r>
        <w:rPr>
          <w:spacing w:val="3"/>
          <w:sz w:val="33"/>
        </w:rPr>
        <w:t>2019</w:t>
      </w:r>
      <w:r>
        <w:rPr>
          <w:spacing w:val="-3"/>
          <w:sz w:val="33"/>
        </w:rPr>
        <w:t xml:space="preserve"> 新增计生特殊家庭精准帮扶一次性补助 </w:t>
      </w:r>
      <w:r>
        <w:rPr>
          <w:sz w:val="33"/>
        </w:rPr>
        <w:t>8</w:t>
      </w:r>
      <w:r>
        <w:rPr>
          <w:spacing w:val="-21"/>
          <w:sz w:val="33"/>
        </w:rPr>
        <w:t xml:space="preserve"> 户， </w:t>
      </w:r>
      <w:r>
        <w:rPr>
          <w:spacing w:val="-11"/>
          <w:sz w:val="33"/>
        </w:rPr>
        <w:t xml:space="preserve">补助金额 </w:t>
      </w:r>
      <w:r>
        <w:rPr>
          <w:sz w:val="33"/>
        </w:rPr>
        <w:t>13</w:t>
      </w:r>
      <w:r>
        <w:rPr>
          <w:spacing w:val="-6"/>
          <w:sz w:val="33"/>
        </w:rPr>
        <w:t xml:space="preserve"> 万元，缴纳住院护工保险 </w:t>
      </w:r>
      <w:r>
        <w:rPr>
          <w:sz w:val="33"/>
        </w:rPr>
        <w:t>2.8</w:t>
      </w:r>
      <w:r>
        <w:rPr>
          <w:spacing w:val="-4"/>
          <w:sz w:val="33"/>
        </w:rPr>
        <w:t xml:space="preserve"> 万元；关爱女孩</w:t>
      </w:r>
      <w:r>
        <w:rPr>
          <w:spacing w:val="-16"/>
          <w:sz w:val="33"/>
        </w:rPr>
        <w:t xml:space="preserve">助学行动 </w:t>
      </w:r>
      <w:r>
        <w:rPr>
          <w:sz w:val="33"/>
        </w:rPr>
        <w:t>17</w:t>
      </w:r>
      <w:r>
        <w:rPr>
          <w:spacing w:val="-21"/>
          <w:sz w:val="33"/>
        </w:rPr>
        <w:t xml:space="preserve"> 人，补助金额 </w:t>
      </w:r>
      <w:r>
        <w:rPr>
          <w:sz w:val="33"/>
        </w:rPr>
        <w:t>3</w:t>
      </w:r>
      <w:r>
        <w:rPr>
          <w:spacing w:val="-19"/>
          <w:sz w:val="33"/>
        </w:rPr>
        <w:t xml:space="preserve"> 万元；圆梦女孩 </w:t>
      </w:r>
      <w:r>
        <w:rPr>
          <w:sz w:val="33"/>
        </w:rPr>
        <w:t>30</w:t>
      </w:r>
      <w:r>
        <w:rPr>
          <w:spacing w:val="-14"/>
          <w:sz w:val="33"/>
        </w:rPr>
        <w:t xml:space="preserve"> 人，补助金</w:t>
      </w:r>
      <w:r>
        <w:rPr>
          <w:spacing w:val="-49"/>
          <w:sz w:val="33"/>
        </w:rPr>
        <w:t xml:space="preserve">额 </w:t>
      </w:r>
      <w:r>
        <w:rPr>
          <w:sz w:val="33"/>
        </w:rPr>
        <w:t>3</w:t>
      </w:r>
      <w:r>
        <w:rPr>
          <w:spacing w:val="-10"/>
          <w:sz w:val="33"/>
        </w:rPr>
        <w:t xml:space="preserve"> 万元；以上补助金额均已发放到位。</w:t>
      </w:r>
    </w:p>
    <w:p>
      <w:pPr>
        <w:spacing w:after="0" w:line="242" w:lineRule="auto"/>
        <w:jc w:val="both"/>
        <w:rPr>
          <w:sz w:val="33"/>
        </w:rPr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8"/>
        <w:numPr>
          <w:ilvl w:val="0"/>
          <w:numId w:val="4"/>
        </w:numPr>
        <w:tabs>
          <w:tab w:val="left" w:pos="820"/>
        </w:tabs>
        <w:spacing w:before="42" w:after="0" w:line="242" w:lineRule="auto"/>
        <w:ind w:left="100" w:right="377" w:firstLine="0"/>
        <w:jc w:val="both"/>
        <w:rPr>
          <w:sz w:val="33"/>
        </w:rPr>
      </w:pPr>
      <w:r>
        <w:rPr>
          <w:w w:val="95"/>
          <w:sz w:val="33"/>
        </w:rPr>
        <w:t xml:space="preserve">根据年初设定的绩效目标，其他卫生健康服务项目绩效 </w:t>
      </w:r>
      <w:r>
        <w:rPr>
          <w:spacing w:val="18"/>
          <w:sz w:val="33"/>
        </w:rPr>
        <w:t xml:space="preserve">自评得分为 </w:t>
      </w:r>
      <w:r>
        <w:rPr>
          <w:sz w:val="33"/>
        </w:rPr>
        <w:t>98</w:t>
      </w:r>
      <w:r>
        <w:rPr>
          <w:spacing w:val="-6"/>
          <w:sz w:val="33"/>
        </w:rPr>
        <w:t xml:space="preserve"> 分</w:t>
      </w:r>
      <w:r>
        <w:rPr>
          <w:sz w:val="33"/>
        </w:rPr>
        <w:t>（</w:t>
      </w:r>
      <w:r>
        <w:rPr>
          <w:spacing w:val="19"/>
          <w:sz w:val="33"/>
        </w:rPr>
        <w:t xml:space="preserve"> 绩效自评表附后</w:t>
      </w:r>
      <w:r>
        <w:rPr>
          <w:spacing w:val="40"/>
          <w:sz w:val="33"/>
        </w:rPr>
        <w:t>）</w:t>
      </w:r>
      <w:r>
        <w:rPr>
          <w:spacing w:val="34"/>
          <w:sz w:val="33"/>
        </w:rPr>
        <w:t>。全年预算数为4606.431824</w:t>
      </w:r>
      <w:r>
        <w:rPr>
          <w:spacing w:val="-13"/>
          <w:sz w:val="33"/>
        </w:rPr>
        <w:t xml:space="preserve"> 万元，执行数为 </w:t>
      </w:r>
      <w:r>
        <w:rPr>
          <w:sz w:val="33"/>
        </w:rPr>
        <w:t>4606.431824</w:t>
      </w:r>
      <w:r>
        <w:rPr>
          <w:spacing w:val="-4"/>
          <w:sz w:val="33"/>
        </w:rPr>
        <w:t xml:space="preserve"> 万元，完成预算的 </w:t>
      </w:r>
      <w:r>
        <w:rPr>
          <w:spacing w:val="2"/>
          <w:sz w:val="33"/>
        </w:rPr>
        <w:t>100</w:t>
      </w:r>
      <w:r>
        <w:rPr>
          <w:spacing w:val="6"/>
          <w:sz w:val="33"/>
        </w:rPr>
        <w:t>%。项目绩效目标完成情况：高龄老人补贴资金共计</w:t>
      </w:r>
    </w:p>
    <w:p>
      <w:pPr>
        <w:pStyle w:val="4"/>
        <w:spacing w:before="3" w:line="244" w:lineRule="auto"/>
        <w:ind w:left="100" w:right="377"/>
        <w:jc w:val="both"/>
      </w:pPr>
      <w:r>
        <w:t>161.304 万元已按照方案要求发放完毕；临西县赤脚医生共计 540 人，补助金额合计 213.44 万元已发放到位。</w:t>
      </w:r>
    </w:p>
    <w:p>
      <w:pPr>
        <w:pStyle w:val="4"/>
        <w:spacing w:before="234"/>
        <w:ind w:left="100"/>
        <w:rPr>
          <w:rFonts w:hint="eastAsia" w:ascii="黑体" w:eastAsia="黑体"/>
        </w:rPr>
      </w:pPr>
      <w:r>
        <w:rPr>
          <w:rFonts w:hint="eastAsia" w:ascii="黑体" w:eastAsia="黑体"/>
          <w:w w:val="95"/>
        </w:rPr>
        <w:t>七、其他重要事项的说明</w:t>
      </w:r>
    </w:p>
    <w:p>
      <w:pPr>
        <w:pStyle w:val="3"/>
        <w:spacing w:before="245"/>
      </w:pPr>
      <w:r>
        <w:rPr>
          <w:w w:val="95"/>
        </w:rPr>
        <w:t>（一）机关运行经费情况</w:t>
      </w:r>
    </w:p>
    <w:p>
      <w:pPr>
        <w:pStyle w:val="4"/>
        <w:spacing w:before="246" w:line="242" w:lineRule="auto"/>
        <w:ind w:left="100" w:right="376"/>
        <w:jc w:val="both"/>
      </w:pPr>
      <w:r>
        <w:rPr>
          <w:spacing w:val="-10"/>
        </w:rPr>
        <w:t xml:space="preserve">本部门 </w:t>
      </w:r>
      <w:r>
        <w:t>2019</w:t>
      </w:r>
      <w:r>
        <w:rPr>
          <w:spacing w:val="-2"/>
        </w:rPr>
        <w:t xml:space="preserve"> 年度机关运行经费支出 </w:t>
      </w:r>
      <w:r>
        <w:t>102.22</w:t>
      </w:r>
      <w:r>
        <w:rPr>
          <w:spacing w:val="-15"/>
        </w:rPr>
        <w:t xml:space="preserve"> 万元，与 </w:t>
      </w:r>
      <w:r>
        <w:t xml:space="preserve">2018 </w:t>
      </w:r>
      <w:r>
        <w:rPr>
          <w:spacing w:val="-2"/>
        </w:rPr>
        <w:t xml:space="preserve">年度相比减少 </w:t>
      </w:r>
      <w:r>
        <w:t>6.84</w:t>
      </w:r>
      <w:r>
        <w:rPr>
          <w:spacing w:val="-15"/>
        </w:rPr>
        <w:t xml:space="preserve"> 万元，降低 </w:t>
      </w:r>
      <w:r>
        <w:rPr>
          <w:spacing w:val="3"/>
        </w:rPr>
        <w:t>6.27</w:t>
      </w:r>
      <w:r>
        <w:rPr>
          <w:spacing w:val="10"/>
        </w:rPr>
        <w:t>%。主要原因是压减行政开支，厉行节约。</w:t>
      </w:r>
    </w:p>
    <w:p>
      <w:pPr>
        <w:pStyle w:val="3"/>
        <w:spacing w:before="243"/>
      </w:pPr>
      <w:r>
        <w:rPr>
          <w:w w:val="95"/>
        </w:rPr>
        <w:t>（二）政府采购情况</w:t>
      </w:r>
    </w:p>
    <w:p>
      <w:pPr>
        <w:pStyle w:val="4"/>
        <w:spacing w:before="245"/>
        <w:ind w:left="100"/>
        <w:jc w:val="both"/>
      </w:pPr>
      <w:r>
        <w:rPr>
          <w:spacing w:val="-20"/>
        </w:rPr>
        <w:t xml:space="preserve">本部门 </w:t>
      </w:r>
      <w:r>
        <w:t>2019</w:t>
      </w:r>
      <w:r>
        <w:rPr>
          <w:spacing w:val="-15"/>
        </w:rPr>
        <w:t xml:space="preserve"> 年度政府采购支出总额 </w:t>
      </w:r>
      <w:r>
        <w:t>701.42</w:t>
      </w:r>
      <w:r>
        <w:rPr>
          <w:spacing w:val="-10"/>
        </w:rPr>
        <w:t xml:space="preserve"> 万元，从采购类</w:t>
      </w:r>
    </w:p>
    <w:p>
      <w:pPr>
        <w:pStyle w:val="4"/>
        <w:spacing w:before="4"/>
        <w:ind w:left="100"/>
        <w:jc w:val="both"/>
      </w:pPr>
      <w:r>
        <w:t>型来看，政府采购货物支出 423.42</w:t>
      </w:r>
      <w:r>
        <w:rPr>
          <w:spacing w:val="-1"/>
        </w:rPr>
        <w:t xml:space="preserve"> 万元、政府采购工程支</w:t>
      </w:r>
    </w:p>
    <w:p>
      <w:pPr>
        <w:pStyle w:val="4"/>
        <w:spacing w:before="7" w:line="242" w:lineRule="auto"/>
        <w:ind w:left="100" w:right="377"/>
        <w:jc w:val="both"/>
      </w:pPr>
      <w:r>
        <w:rPr>
          <w:spacing w:val="-41"/>
        </w:rPr>
        <w:t xml:space="preserve">出 </w:t>
      </w:r>
      <w:r>
        <w:t>278.00</w:t>
      </w:r>
      <w:r>
        <w:rPr>
          <w:spacing w:val="-14"/>
        </w:rPr>
        <w:t xml:space="preserve"> 万元、政府采购服务支出 </w:t>
      </w:r>
      <w:r>
        <w:t>0.00</w:t>
      </w:r>
      <w:r>
        <w:rPr>
          <w:spacing w:val="-9"/>
        </w:rPr>
        <w:t xml:space="preserve"> 万元。授予中小企</w:t>
      </w:r>
      <w:r>
        <w:rPr>
          <w:spacing w:val="-6"/>
        </w:rPr>
        <w:t xml:space="preserve">业合同金 </w:t>
      </w:r>
      <w:r>
        <w:t xml:space="preserve">701.42 万元，占政府采购支出总额的 </w:t>
      </w:r>
      <w:r>
        <w:rPr>
          <w:spacing w:val="2"/>
        </w:rPr>
        <w:t xml:space="preserve">100.00%， </w:t>
      </w:r>
      <w:r>
        <w:t>其中授予小微企业合同金额 701.42</w:t>
      </w:r>
      <w:r>
        <w:rPr>
          <w:spacing w:val="-1"/>
        </w:rPr>
        <w:t xml:space="preserve"> 万元，占政府采购支出</w:t>
      </w:r>
      <w:r>
        <w:rPr>
          <w:spacing w:val="-22"/>
        </w:rPr>
        <w:t xml:space="preserve">总额的 </w:t>
      </w:r>
      <w:r>
        <w:t>100.00%。</w:t>
      </w:r>
    </w:p>
    <w:p>
      <w:pPr>
        <w:pStyle w:val="3"/>
        <w:spacing w:before="243"/>
      </w:pPr>
      <w:r>
        <w:t>（三）国有资产占用情况</w:t>
      </w:r>
    </w:p>
    <w:p>
      <w:pPr>
        <w:pStyle w:val="4"/>
        <w:spacing w:before="244"/>
        <w:ind w:left="100" w:firstLine="572" w:firstLineChars="200"/>
      </w:pPr>
      <w:r>
        <w:rPr>
          <w:spacing w:val="-22"/>
        </w:rPr>
        <w:t xml:space="preserve">截至 </w:t>
      </w:r>
      <w:r>
        <w:t>2019</w:t>
      </w:r>
      <w:r>
        <w:rPr>
          <w:spacing w:val="-50"/>
        </w:rPr>
        <w:t xml:space="preserve"> 年 </w:t>
      </w:r>
      <w:r>
        <w:t>12</w:t>
      </w:r>
      <w:r>
        <w:rPr>
          <w:spacing w:val="-50"/>
        </w:rPr>
        <w:t xml:space="preserve"> 月 </w:t>
      </w:r>
      <w:r>
        <w:t>31</w:t>
      </w:r>
      <w:r>
        <w:rPr>
          <w:spacing w:val="-7"/>
        </w:rPr>
        <w:t xml:space="preserve"> 日，本部门共有车辆 </w:t>
      </w:r>
      <w:r>
        <w:t>7</w:t>
      </w:r>
      <w:r>
        <w:rPr>
          <w:spacing w:val="-4"/>
        </w:rPr>
        <w:t xml:space="preserve"> 辆，与上年相</w:t>
      </w:r>
      <w:r>
        <w:rPr>
          <w:spacing w:val="-20"/>
        </w:rPr>
        <w:t xml:space="preserve">比减少 </w:t>
      </w:r>
      <w:r>
        <w:t>1</w:t>
      </w:r>
      <w:r>
        <w:rPr>
          <w:spacing w:val="-8"/>
        </w:rPr>
        <w:t xml:space="preserve"> 辆，主要是压减行政开支，厉行节约。其中，副部</w:t>
      </w:r>
    </w:p>
    <w:p>
      <w:pPr>
        <w:pStyle w:val="4"/>
        <w:spacing w:before="4"/>
        <w:ind w:left="100"/>
      </w:pPr>
      <w:r>
        <w:rPr>
          <w:spacing w:val="4"/>
        </w:rPr>
        <w:t>（</w:t>
      </w:r>
      <w:r>
        <w:t>省</w:t>
      </w:r>
      <w:r>
        <w:rPr>
          <w:spacing w:val="4"/>
        </w:rPr>
        <w:t>）</w:t>
      </w:r>
      <w:r>
        <w:rPr>
          <w:spacing w:val="-9"/>
        </w:rPr>
        <w:t xml:space="preserve">级及以上领导用车 </w:t>
      </w:r>
      <w:r>
        <w:t>0</w:t>
      </w:r>
      <w:r>
        <w:rPr>
          <w:spacing w:val="-14"/>
        </w:rPr>
        <w:t xml:space="preserve"> 辆，主要领导干部用车 </w:t>
      </w:r>
      <w:r>
        <w:t>0</w:t>
      </w:r>
      <w:r>
        <w:rPr>
          <w:spacing w:val="-20"/>
        </w:rPr>
        <w:t xml:space="preserve"> 辆，机</w:t>
      </w:r>
    </w:p>
    <w:p>
      <w:pPr>
        <w:pStyle w:val="4"/>
        <w:spacing w:before="7" w:line="242" w:lineRule="auto"/>
        <w:ind w:left="100" w:right="376"/>
        <w:rPr>
          <w:rFonts w:hint="eastAsia" w:eastAsia="仿宋"/>
          <w:lang w:eastAsia="zh-CN"/>
        </w:rPr>
      </w:pPr>
      <w:r>
        <w:rPr>
          <w:spacing w:val="-14"/>
        </w:rPr>
        <w:t xml:space="preserve">要通信用车 </w:t>
      </w:r>
      <w:r>
        <w:t>0</w:t>
      </w:r>
      <w:r>
        <w:rPr>
          <w:spacing w:val="-17"/>
        </w:rPr>
        <w:t xml:space="preserve"> 辆，应急保障用车 </w:t>
      </w:r>
      <w:r>
        <w:t>0</w:t>
      </w:r>
      <w:r>
        <w:rPr>
          <w:spacing w:val="-17"/>
        </w:rPr>
        <w:t xml:space="preserve"> 辆，执法执勤用车 </w:t>
      </w:r>
      <w:r>
        <w:t>0</w:t>
      </w:r>
      <w:r>
        <w:rPr>
          <w:spacing w:val="-26"/>
        </w:rPr>
        <w:t xml:space="preserve"> 辆，</w:t>
      </w:r>
      <w:r>
        <w:rPr>
          <w:spacing w:val="-5"/>
        </w:rPr>
        <w:t xml:space="preserve">特种专业技术用车 </w:t>
      </w:r>
      <w:r>
        <w:t>0</w:t>
      </w:r>
      <w:r>
        <w:rPr>
          <w:spacing w:val="-13"/>
        </w:rPr>
        <w:t xml:space="preserve"> 辆，离退休干部用车 </w:t>
      </w:r>
      <w:r>
        <w:t>0</w:t>
      </w:r>
      <w:r>
        <w:rPr>
          <w:spacing w:val="-18"/>
        </w:rPr>
        <w:t xml:space="preserve"> 辆，其他用车 </w:t>
      </w:r>
      <w:r>
        <w:rPr>
          <w:spacing w:val="-13"/>
        </w:rPr>
        <w:t xml:space="preserve">7 </w:t>
      </w:r>
      <w:r>
        <w:t>辆，其他用车主要是救护车及专用车；</w:t>
      </w:r>
      <w:r>
        <w:rPr>
          <w:spacing w:val="-11"/>
        </w:rPr>
        <w:t xml:space="preserve">单位价值 </w:t>
      </w:r>
      <w:r>
        <w:t>50</w:t>
      </w:r>
      <w:r>
        <w:rPr>
          <w:spacing w:val="-11"/>
        </w:rPr>
        <w:t xml:space="preserve"> 万元以上通用设备 </w:t>
      </w:r>
      <w:r>
        <w:rPr>
          <w:rFonts w:hint="eastAsia"/>
          <w:lang w:val="en-US" w:eastAsia="zh-CN"/>
        </w:rPr>
        <w:t>0</w:t>
      </w:r>
      <w:r>
        <w:rPr>
          <w:spacing w:val="-35"/>
        </w:rPr>
        <w:t xml:space="preserve"> 台</w:t>
      </w:r>
      <w:r>
        <w:rPr>
          <w:spacing w:val="11"/>
        </w:rPr>
        <w:t>（</w:t>
      </w:r>
      <w:r>
        <w:rPr>
          <w:spacing w:val="9"/>
        </w:rPr>
        <w:t>套</w:t>
      </w:r>
      <w:r>
        <w:rPr>
          <w:spacing w:val="10"/>
        </w:rPr>
        <w:t>）</w:t>
      </w:r>
      <w:r>
        <w:rPr>
          <w:spacing w:val="7"/>
        </w:rPr>
        <w:t>，与</w:t>
      </w:r>
      <w:r>
        <w:rPr>
          <w:rFonts w:hint="eastAsia"/>
          <w:spacing w:val="7"/>
          <w:lang w:eastAsia="zh-CN"/>
        </w:rPr>
        <w:t>上年相比无变化</w:t>
      </w:r>
      <w:r>
        <w:t>，，单位价值 100 万元以上专用设备</w:t>
      </w:r>
      <w:r>
        <w:rPr>
          <w:rFonts w:hint="eastAsia"/>
          <w:lang w:val="en-US" w:eastAsia="zh-CN"/>
        </w:rPr>
        <w:t>0</w:t>
      </w:r>
      <w:r>
        <w:t>台（套），与上年相比</w:t>
      </w:r>
      <w:r>
        <w:rPr>
          <w:rFonts w:hint="eastAsia"/>
          <w:lang w:eastAsia="zh-CN"/>
        </w:rPr>
        <w:t>无变化。</w:t>
      </w:r>
    </w:p>
    <w:p>
      <w:pPr>
        <w:spacing w:after="0" w:line="242" w:lineRule="auto"/>
      </w:pPr>
    </w:p>
    <w:p>
      <w:pPr>
        <w:spacing w:after="0" w:line="242" w:lineRule="auto"/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3"/>
        <w:spacing w:before="42"/>
      </w:pPr>
      <w:r>
        <w:t>（四）其他需要说明的情况</w:t>
      </w:r>
    </w:p>
    <w:p>
      <w:pPr>
        <w:pStyle w:val="8"/>
        <w:numPr>
          <w:ilvl w:val="0"/>
          <w:numId w:val="5"/>
        </w:numPr>
        <w:tabs>
          <w:tab w:val="left" w:pos="597"/>
        </w:tabs>
        <w:spacing w:before="244" w:after="0" w:line="244" w:lineRule="auto"/>
        <w:ind w:left="100" w:right="377" w:firstLine="0"/>
        <w:jc w:val="both"/>
        <w:rPr>
          <w:sz w:val="33"/>
        </w:rPr>
      </w:pPr>
      <w:r>
        <w:rPr>
          <w:spacing w:val="-20"/>
          <w:sz w:val="33"/>
        </w:rPr>
        <w:t xml:space="preserve">本部门 </w:t>
      </w:r>
      <w:r>
        <w:rPr>
          <w:sz w:val="33"/>
        </w:rPr>
        <w:t>2019</w:t>
      </w:r>
      <w:r>
        <w:rPr>
          <w:spacing w:val="-8"/>
          <w:sz w:val="33"/>
        </w:rPr>
        <w:t xml:space="preserve"> 年度国有资本经营预算财政拨款无收支及结</w:t>
      </w:r>
      <w:r>
        <w:rPr>
          <w:spacing w:val="-18"/>
          <w:sz w:val="33"/>
        </w:rPr>
        <w:t xml:space="preserve">转结余情况，故 </w:t>
      </w:r>
      <w:r>
        <w:rPr>
          <w:sz w:val="33"/>
        </w:rPr>
        <w:t>09</w:t>
      </w:r>
      <w:r>
        <w:rPr>
          <w:spacing w:val="-12"/>
          <w:sz w:val="33"/>
        </w:rPr>
        <w:t xml:space="preserve"> 表以空表列示。</w:t>
      </w:r>
    </w:p>
    <w:p>
      <w:pPr>
        <w:pStyle w:val="8"/>
        <w:numPr>
          <w:ilvl w:val="0"/>
          <w:numId w:val="5"/>
        </w:numPr>
        <w:tabs>
          <w:tab w:val="left" w:pos="604"/>
        </w:tabs>
        <w:spacing w:before="235" w:after="0" w:line="242" w:lineRule="auto"/>
        <w:ind w:left="100" w:right="380" w:firstLine="0"/>
        <w:jc w:val="both"/>
        <w:rPr>
          <w:sz w:val="33"/>
        </w:rPr>
      </w:pPr>
      <w:r>
        <w:rPr>
          <w:spacing w:val="8"/>
          <w:w w:val="95"/>
          <w:sz w:val="33"/>
        </w:rPr>
        <w:t xml:space="preserve">由于决算公开表格中金额数值应当保留两位小数，公开 </w:t>
      </w:r>
      <w:r>
        <w:rPr>
          <w:sz w:val="33"/>
        </w:rPr>
        <w:t>数据为四舍五入计算结果，个别数据合计项与分项之和存在小数点后差额，特此说明。</w:t>
      </w: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rPr>
          <w:sz w:val="32"/>
        </w:rPr>
      </w:pPr>
    </w:p>
    <w:p>
      <w:pPr>
        <w:pStyle w:val="4"/>
        <w:spacing w:before="2"/>
        <w:rPr>
          <w:sz w:val="46"/>
        </w:rPr>
      </w:pPr>
    </w:p>
    <w:p>
      <w:pPr>
        <w:pStyle w:val="2"/>
        <w:tabs>
          <w:tab w:val="left" w:pos="3879"/>
        </w:tabs>
        <w:spacing w:before="1"/>
        <w:ind w:left="640" w:right="0"/>
        <w:jc w:val="left"/>
      </w:pPr>
    </w:p>
    <w:p>
      <w:pPr>
        <w:pStyle w:val="2"/>
        <w:tabs>
          <w:tab w:val="left" w:pos="3879"/>
        </w:tabs>
        <w:spacing w:before="1"/>
        <w:ind w:left="640" w:right="0"/>
        <w:jc w:val="left"/>
      </w:pPr>
    </w:p>
    <w:p>
      <w:pPr>
        <w:pStyle w:val="2"/>
        <w:tabs>
          <w:tab w:val="left" w:pos="3879"/>
        </w:tabs>
        <w:spacing w:before="1"/>
        <w:ind w:left="640" w:right="0"/>
        <w:jc w:val="left"/>
      </w:pPr>
    </w:p>
    <w:p>
      <w:pPr>
        <w:pStyle w:val="2"/>
        <w:tabs>
          <w:tab w:val="left" w:pos="3879"/>
        </w:tabs>
        <w:spacing w:before="1"/>
        <w:ind w:left="640" w:right="0"/>
        <w:jc w:val="left"/>
      </w:pPr>
    </w:p>
    <w:p>
      <w:pPr>
        <w:pStyle w:val="2"/>
        <w:tabs>
          <w:tab w:val="left" w:pos="3879"/>
        </w:tabs>
        <w:spacing w:before="1"/>
        <w:ind w:left="640" w:right="0"/>
        <w:jc w:val="left"/>
      </w:pPr>
    </w:p>
    <w:p>
      <w:pPr>
        <w:pStyle w:val="2"/>
        <w:tabs>
          <w:tab w:val="left" w:pos="3879"/>
        </w:tabs>
        <w:spacing w:before="1"/>
        <w:ind w:left="640" w:right="0"/>
        <w:jc w:val="left"/>
      </w:pPr>
      <w:r>
        <w:t>第三部分</w:t>
      </w:r>
      <w:r>
        <w:tab/>
      </w:r>
      <w:r>
        <w:t>相关名词解释</w:t>
      </w:r>
    </w:p>
    <w:p>
      <w:pPr>
        <w:spacing w:after="0"/>
        <w:jc w:val="left"/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4"/>
        <w:spacing w:before="42" w:line="242" w:lineRule="auto"/>
        <w:ind w:left="100" w:right="377"/>
        <w:jc w:val="both"/>
      </w:pPr>
      <w:r>
        <w:rPr>
          <w:b/>
          <w:spacing w:val="4"/>
          <w:w w:val="95"/>
        </w:rPr>
        <w:t>（一）</w:t>
      </w:r>
      <w:r>
        <w:rPr>
          <w:b/>
          <w:spacing w:val="1"/>
          <w:w w:val="95"/>
        </w:rPr>
        <w:t>财政拨款收入：</w:t>
      </w:r>
      <w:r>
        <w:rPr>
          <w:w w:val="95"/>
        </w:rPr>
        <w:t xml:space="preserve">本年度从本级财政部门取得的财政拨 </w:t>
      </w:r>
      <w:r>
        <w:rPr>
          <w:spacing w:val="15"/>
          <w:w w:val="95"/>
        </w:rPr>
        <w:t xml:space="preserve">款，包括一般公共预算财政拨款和政府性基金预算财政拨 </w:t>
      </w:r>
      <w:r>
        <w:rPr>
          <w:spacing w:val="15"/>
        </w:rPr>
        <w:t>款。</w:t>
      </w:r>
    </w:p>
    <w:p>
      <w:pPr>
        <w:spacing w:before="243" w:line="242" w:lineRule="auto"/>
        <w:ind w:left="100" w:right="377" w:firstLine="0"/>
        <w:jc w:val="left"/>
        <w:rPr>
          <w:sz w:val="33"/>
        </w:rPr>
      </w:pPr>
      <w:r>
        <w:rPr>
          <w:b/>
          <w:spacing w:val="4"/>
          <w:w w:val="95"/>
          <w:sz w:val="33"/>
        </w:rPr>
        <w:t>（二）</w:t>
      </w:r>
      <w:r>
        <w:rPr>
          <w:b/>
          <w:spacing w:val="2"/>
          <w:w w:val="95"/>
          <w:sz w:val="33"/>
        </w:rPr>
        <w:t>事业收入：</w:t>
      </w:r>
      <w:r>
        <w:rPr>
          <w:w w:val="95"/>
          <w:sz w:val="33"/>
        </w:rPr>
        <w:t xml:space="preserve">指事业单位开展专业业务活动及辅助活动 </w:t>
      </w:r>
      <w:r>
        <w:rPr>
          <w:sz w:val="33"/>
        </w:rPr>
        <w:t>所取得的收入。</w:t>
      </w:r>
    </w:p>
    <w:p>
      <w:pPr>
        <w:spacing w:before="242" w:line="242" w:lineRule="auto"/>
        <w:ind w:left="100" w:right="377" w:firstLine="0"/>
        <w:jc w:val="left"/>
        <w:rPr>
          <w:sz w:val="33"/>
        </w:rPr>
      </w:pPr>
      <w:r>
        <w:rPr>
          <w:b/>
          <w:sz w:val="33"/>
        </w:rPr>
        <w:t>（</w:t>
      </w:r>
      <w:r>
        <w:rPr>
          <w:b/>
          <w:spacing w:val="-53"/>
          <w:sz w:val="33"/>
        </w:rPr>
        <w:t xml:space="preserve"> 三</w:t>
      </w:r>
      <w:r>
        <w:rPr>
          <w:b/>
          <w:sz w:val="33"/>
        </w:rPr>
        <w:t>）</w:t>
      </w:r>
      <w:r>
        <w:rPr>
          <w:b/>
          <w:spacing w:val="-21"/>
          <w:sz w:val="33"/>
        </w:rPr>
        <w:t xml:space="preserve"> 其他收入： </w:t>
      </w:r>
      <w:r>
        <w:rPr>
          <w:spacing w:val="2"/>
          <w:sz w:val="33"/>
        </w:rPr>
        <w:t>指除上述“ 财政拨款收入”“ 事业收入”“经营收入”等以外的收入。</w:t>
      </w:r>
    </w:p>
    <w:p>
      <w:pPr>
        <w:pStyle w:val="4"/>
        <w:spacing w:before="241" w:line="242" w:lineRule="auto"/>
        <w:ind w:left="100" w:right="375"/>
        <w:jc w:val="both"/>
      </w:pPr>
      <w:r>
        <w:rPr>
          <w:b/>
          <w:spacing w:val="19"/>
          <w:w w:val="95"/>
        </w:rPr>
        <w:t>（</w:t>
      </w:r>
      <w:r>
        <w:rPr>
          <w:b/>
          <w:spacing w:val="16"/>
          <w:w w:val="95"/>
        </w:rPr>
        <w:t>四</w:t>
      </w:r>
      <w:r>
        <w:rPr>
          <w:b/>
          <w:spacing w:val="19"/>
          <w:w w:val="95"/>
        </w:rPr>
        <w:t>）</w:t>
      </w:r>
      <w:r>
        <w:rPr>
          <w:b/>
          <w:spacing w:val="16"/>
          <w:w w:val="95"/>
        </w:rPr>
        <w:t>用事业基金弥补收支差额：</w:t>
      </w:r>
      <w:r>
        <w:rPr>
          <w:spacing w:val="14"/>
          <w:w w:val="95"/>
        </w:rPr>
        <w:t xml:space="preserve">指事业单位在用当年的 </w:t>
      </w:r>
      <w:r>
        <w:rPr>
          <w:spacing w:val="12"/>
          <w:w w:val="95"/>
        </w:rPr>
        <w:t xml:space="preserve">“财政拨款收入”“财政拨款结转和结余资金”“事业收 </w:t>
      </w:r>
      <w:r>
        <w:t>入”“经营收入”“其他收入”不足以安排当年支出的情况下，使用以前年度积累的事业基金</w:t>
      </w:r>
      <w:r>
        <w:rPr>
          <w:spacing w:val="4"/>
        </w:rPr>
        <w:t>（</w:t>
      </w:r>
      <w:r>
        <w:t>事业单位当年收支相抵后按国家规定提取、用于弥补以后年度收支差额的基金）弥补本年度收支缺口的资金。</w:t>
      </w:r>
    </w:p>
    <w:p>
      <w:pPr>
        <w:pStyle w:val="4"/>
        <w:spacing w:before="246" w:line="242" w:lineRule="auto"/>
        <w:ind w:left="100" w:right="377"/>
        <w:jc w:val="both"/>
      </w:pPr>
      <w:r>
        <w:rPr>
          <w:b/>
          <w:spacing w:val="4"/>
          <w:w w:val="95"/>
        </w:rPr>
        <w:t>（五）</w:t>
      </w:r>
      <w:r>
        <w:rPr>
          <w:b/>
          <w:spacing w:val="1"/>
          <w:w w:val="95"/>
        </w:rPr>
        <w:t>年初结转和结余：</w:t>
      </w:r>
      <w:r>
        <w:rPr>
          <w:w w:val="95"/>
        </w:rPr>
        <w:t xml:space="preserve">指以前年度尚未完成、结转到本年 </w:t>
      </w:r>
      <w:r>
        <w:t>仍按原规定用途继续使用的资金，或项目已完成等产生的结余资金。</w:t>
      </w:r>
    </w:p>
    <w:p>
      <w:pPr>
        <w:pStyle w:val="4"/>
        <w:spacing w:before="242" w:line="244" w:lineRule="auto"/>
        <w:ind w:left="100" w:right="377"/>
      </w:pPr>
      <w:r>
        <w:rPr>
          <w:b/>
          <w:spacing w:val="4"/>
          <w:w w:val="95"/>
        </w:rPr>
        <w:t>（六）</w:t>
      </w:r>
      <w:r>
        <w:rPr>
          <w:b/>
          <w:spacing w:val="2"/>
          <w:w w:val="95"/>
        </w:rPr>
        <w:t>结余分配：</w:t>
      </w:r>
      <w:r>
        <w:rPr>
          <w:w w:val="95"/>
        </w:rPr>
        <w:t xml:space="preserve">指事业单位按照事业单位会计制度的规定 </w:t>
      </w:r>
      <w:r>
        <w:t>从非财政补助结余中分配的事业基金和职工福利基金等。</w:t>
      </w:r>
    </w:p>
    <w:p>
      <w:pPr>
        <w:spacing w:before="235" w:line="242" w:lineRule="auto"/>
        <w:ind w:left="100" w:right="377" w:firstLine="0"/>
        <w:jc w:val="left"/>
        <w:rPr>
          <w:sz w:val="33"/>
        </w:rPr>
      </w:pPr>
      <w:r>
        <w:rPr>
          <w:b/>
          <w:spacing w:val="4"/>
          <w:w w:val="95"/>
          <w:sz w:val="33"/>
        </w:rPr>
        <w:t>（七）</w:t>
      </w:r>
      <w:r>
        <w:rPr>
          <w:b/>
          <w:spacing w:val="1"/>
          <w:w w:val="95"/>
          <w:sz w:val="33"/>
        </w:rPr>
        <w:t>年末结转和结余：</w:t>
      </w:r>
      <w:r>
        <w:rPr>
          <w:w w:val="95"/>
          <w:sz w:val="33"/>
        </w:rPr>
        <w:t xml:space="preserve">指单位按有关规定结转到下年或以 </w:t>
      </w:r>
      <w:r>
        <w:rPr>
          <w:sz w:val="33"/>
        </w:rPr>
        <w:t>后年度继续使用的资金，或项目已完成等产生的结余资金。</w:t>
      </w:r>
    </w:p>
    <w:p>
      <w:pPr>
        <w:pStyle w:val="4"/>
        <w:spacing w:before="242" w:line="242" w:lineRule="auto"/>
        <w:ind w:left="100" w:right="377"/>
      </w:pPr>
      <w:r>
        <w:rPr>
          <w:b/>
          <w:spacing w:val="4"/>
          <w:w w:val="95"/>
        </w:rPr>
        <w:t>（八）</w:t>
      </w:r>
      <w:r>
        <w:rPr>
          <w:b/>
          <w:spacing w:val="2"/>
          <w:w w:val="95"/>
        </w:rPr>
        <w:t>基本支出：</w:t>
      </w:r>
      <w:r>
        <w:rPr>
          <w:w w:val="95"/>
        </w:rPr>
        <w:t xml:space="preserve">填列单位为保障机构正常运转、完成日常 </w:t>
      </w:r>
      <w:r>
        <w:t>工作任务而发生的各项支出。</w:t>
      </w:r>
    </w:p>
    <w:p>
      <w:pPr>
        <w:pStyle w:val="4"/>
        <w:spacing w:before="241" w:line="244" w:lineRule="auto"/>
        <w:ind w:left="100" w:right="377"/>
      </w:pPr>
      <w:r>
        <w:rPr>
          <w:b/>
          <w:spacing w:val="4"/>
          <w:w w:val="95"/>
        </w:rPr>
        <w:t>（九）</w:t>
      </w:r>
      <w:r>
        <w:rPr>
          <w:b/>
          <w:spacing w:val="2"/>
          <w:w w:val="95"/>
        </w:rPr>
        <w:t>项目支出：</w:t>
      </w:r>
      <w:r>
        <w:rPr>
          <w:w w:val="95"/>
        </w:rPr>
        <w:t xml:space="preserve">填列单位为完成特定的行政工作任务或事 </w:t>
      </w:r>
      <w:r>
        <w:t>业发展目标，在基本支出之外发生的各项支出</w:t>
      </w:r>
    </w:p>
    <w:p>
      <w:pPr>
        <w:spacing w:after="0" w:line="244" w:lineRule="auto"/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4"/>
        <w:spacing w:before="42" w:line="242" w:lineRule="auto"/>
        <w:ind w:left="100" w:right="377"/>
        <w:jc w:val="both"/>
      </w:pPr>
      <w:r>
        <w:rPr>
          <w:b/>
          <w:spacing w:val="4"/>
          <w:w w:val="95"/>
        </w:rPr>
        <w:t>（十）</w:t>
      </w:r>
      <w:r>
        <w:rPr>
          <w:b/>
          <w:spacing w:val="1"/>
          <w:w w:val="95"/>
        </w:rPr>
        <w:t>基本建设支出：</w:t>
      </w:r>
      <w:r>
        <w:rPr>
          <w:w w:val="95"/>
        </w:rPr>
        <w:t xml:space="preserve">填列由本级发展与改革部门集中安排 </w:t>
      </w:r>
      <w:r>
        <w:t>的用于购置固定资产、战略性和应急性储备、土地和无形资产，以及购建基础设施、大型修缮所发生的一般公共预算财政拨款支出，不包括政府性基金、财政专户管理资金以及各类拼盘自筹资金等。</w:t>
      </w:r>
    </w:p>
    <w:p>
      <w:pPr>
        <w:pStyle w:val="4"/>
        <w:spacing w:before="245" w:line="242" w:lineRule="auto"/>
        <w:ind w:left="100" w:right="375"/>
        <w:jc w:val="both"/>
      </w:pPr>
      <w:r>
        <w:rPr>
          <w:b/>
          <w:spacing w:val="4"/>
          <w:w w:val="95"/>
        </w:rPr>
        <w:t>（十一</w:t>
      </w:r>
      <w:r>
        <w:rPr>
          <w:b/>
          <w:w w:val="95"/>
        </w:rPr>
        <w:t>）</w:t>
      </w:r>
      <w:r>
        <w:rPr>
          <w:b/>
          <w:spacing w:val="3"/>
          <w:w w:val="95"/>
        </w:rPr>
        <w:t>其他资本性支出：</w:t>
      </w:r>
      <w:r>
        <w:rPr>
          <w:w w:val="95"/>
        </w:rPr>
        <w:t xml:space="preserve">填列由各级非发展与改革部门集 </w:t>
      </w:r>
      <w:r>
        <w:t>中安排的用于购置固定资产、战备性和应急性储备、土地和无形资产，以及购建基础设施、大型修缮和财政支持企业更新改造所发生的支出。</w:t>
      </w:r>
    </w:p>
    <w:p>
      <w:pPr>
        <w:spacing w:before="244"/>
        <w:ind w:left="100" w:right="0" w:firstLine="0"/>
        <w:jc w:val="left"/>
        <w:rPr>
          <w:sz w:val="33"/>
        </w:rPr>
      </w:pPr>
      <w:r>
        <w:rPr>
          <w:b/>
          <w:sz w:val="33"/>
        </w:rPr>
        <w:t>（十二）“三公”经费：</w:t>
      </w:r>
      <w:r>
        <w:rPr>
          <w:sz w:val="33"/>
        </w:rPr>
        <w:t>指部门用财政拨款安排的因公出国</w:t>
      </w:r>
    </w:p>
    <w:p>
      <w:pPr>
        <w:pStyle w:val="4"/>
        <w:spacing w:before="4" w:line="242" w:lineRule="auto"/>
        <w:ind w:left="100" w:right="380"/>
        <w:jc w:val="both"/>
      </w:pPr>
      <w:r>
        <w:t>（</w:t>
      </w:r>
      <w:r>
        <w:rPr>
          <w:spacing w:val="4"/>
        </w:rPr>
        <w:t>境</w:t>
      </w:r>
      <w:r>
        <w:t>）费、公务用车购置及运行费和公务接待费。其中，因</w:t>
      </w:r>
      <w:r>
        <w:rPr>
          <w:spacing w:val="1"/>
        </w:rPr>
        <w:t>公出国</w:t>
      </w:r>
      <w:r>
        <w:rPr>
          <w:spacing w:val="4"/>
        </w:rPr>
        <w:t>（</w:t>
      </w:r>
      <w:r>
        <w:t>境</w:t>
      </w:r>
      <w:r>
        <w:rPr>
          <w:spacing w:val="4"/>
        </w:rPr>
        <w:t>）</w:t>
      </w:r>
      <w:r>
        <w:t>费反映单位公务出国</w:t>
      </w:r>
      <w:r>
        <w:rPr>
          <w:spacing w:val="4"/>
        </w:rPr>
        <w:t>（</w:t>
      </w:r>
      <w:r>
        <w:t>境</w:t>
      </w:r>
      <w:r>
        <w:rPr>
          <w:spacing w:val="4"/>
        </w:rPr>
        <w:t>）</w:t>
      </w:r>
      <w:r>
        <w:t>的国际旅费、国外城市间交通费、住宿费、伙食费、培训费、公杂费等支出； 公务用车购置及运行费反映单位公务用车购置支出（</w:t>
      </w:r>
      <w:r>
        <w:rPr>
          <w:spacing w:val="1"/>
        </w:rPr>
        <w:t>含车辆</w:t>
      </w:r>
      <w:r>
        <w:rPr>
          <w:spacing w:val="16"/>
          <w:w w:val="95"/>
        </w:rPr>
        <w:t>购置税、牌照费）</w:t>
      </w:r>
      <w:r>
        <w:rPr>
          <w:spacing w:val="15"/>
          <w:w w:val="95"/>
        </w:rPr>
        <w:t xml:space="preserve">及按规定保留的公务用车燃料费、维修 </w:t>
      </w:r>
      <w:r>
        <w:t>费、过桥过路费、保险费、安全奖励费用等支出；公务接待</w:t>
      </w:r>
      <w:r>
        <w:rPr>
          <w:spacing w:val="16"/>
          <w:w w:val="95"/>
        </w:rPr>
        <w:t>费反映单位按规定开支的各类公务接待（含外宾接待）</w:t>
      </w:r>
      <w:r>
        <w:rPr>
          <w:w w:val="95"/>
        </w:rPr>
        <w:t xml:space="preserve">支 </w:t>
      </w:r>
      <w:r>
        <w:t>出。</w:t>
      </w:r>
    </w:p>
    <w:p>
      <w:pPr>
        <w:pStyle w:val="4"/>
        <w:spacing w:before="248" w:line="242" w:lineRule="auto"/>
        <w:ind w:left="100" w:right="377"/>
        <w:jc w:val="both"/>
      </w:pPr>
      <w:r>
        <w:rPr>
          <w:b/>
          <w:spacing w:val="4"/>
          <w:w w:val="95"/>
        </w:rPr>
        <w:t>（十三</w:t>
      </w:r>
      <w:r>
        <w:rPr>
          <w:b/>
          <w:w w:val="95"/>
        </w:rPr>
        <w:t>）</w:t>
      </w:r>
      <w:r>
        <w:rPr>
          <w:b/>
          <w:spacing w:val="3"/>
          <w:w w:val="95"/>
        </w:rPr>
        <w:t>其他交通费用：</w:t>
      </w:r>
      <w:r>
        <w:rPr>
          <w:w w:val="95"/>
        </w:rPr>
        <w:t xml:space="preserve">填列单位除公务用车运行维护费以 </w:t>
      </w:r>
      <w:r>
        <w:t>外的其他交通费用。如公务交通补贴、租车费用、出租车费用，飞机、船舶等燃料费、维修费、保险费等。</w:t>
      </w:r>
    </w:p>
    <w:p>
      <w:pPr>
        <w:spacing w:before="243"/>
        <w:ind w:left="100" w:right="0" w:firstLine="0"/>
        <w:jc w:val="left"/>
        <w:rPr>
          <w:sz w:val="33"/>
        </w:rPr>
      </w:pPr>
      <w:r>
        <w:rPr>
          <w:b/>
          <w:sz w:val="33"/>
        </w:rPr>
        <w:t>（十四）公务用车购置：</w:t>
      </w:r>
      <w:r>
        <w:rPr>
          <w:sz w:val="33"/>
        </w:rPr>
        <w:t>填列单位公务用车车辆购置支出</w:t>
      </w:r>
    </w:p>
    <w:p>
      <w:pPr>
        <w:pStyle w:val="4"/>
        <w:spacing w:before="5"/>
        <w:ind w:left="100"/>
      </w:pPr>
      <w:r>
        <w:t>（含车辆购置税、牌照费）。</w:t>
      </w:r>
    </w:p>
    <w:p>
      <w:pPr>
        <w:spacing w:before="246" w:line="242" w:lineRule="auto"/>
        <w:ind w:left="100" w:right="375" w:firstLine="0"/>
        <w:jc w:val="both"/>
        <w:rPr>
          <w:sz w:val="33"/>
        </w:rPr>
      </w:pPr>
      <w:r>
        <w:rPr>
          <w:b/>
          <w:spacing w:val="4"/>
          <w:w w:val="95"/>
          <w:sz w:val="33"/>
        </w:rPr>
        <w:t>（</w:t>
      </w:r>
      <w:r>
        <w:rPr>
          <w:b/>
          <w:spacing w:val="2"/>
          <w:w w:val="95"/>
          <w:sz w:val="33"/>
        </w:rPr>
        <w:t>十五</w:t>
      </w:r>
      <w:r>
        <w:rPr>
          <w:b/>
          <w:spacing w:val="4"/>
          <w:w w:val="95"/>
          <w:sz w:val="33"/>
        </w:rPr>
        <w:t>）</w:t>
      </w:r>
      <w:r>
        <w:rPr>
          <w:b/>
          <w:spacing w:val="3"/>
          <w:w w:val="95"/>
          <w:sz w:val="33"/>
        </w:rPr>
        <w:t>其他交通工具购置：</w:t>
      </w:r>
      <w:r>
        <w:rPr>
          <w:w w:val="95"/>
          <w:sz w:val="33"/>
        </w:rPr>
        <w:t xml:space="preserve">填列单位除公务用车外的其他 </w:t>
      </w:r>
      <w:r>
        <w:rPr>
          <w:spacing w:val="16"/>
          <w:w w:val="95"/>
          <w:sz w:val="33"/>
        </w:rPr>
        <w:t>各类交通工具（如船舶、飞机等）购置支出（</w:t>
      </w:r>
      <w:r>
        <w:rPr>
          <w:spacing w:val="12"/>
          <w:w w:val="95"/>
          <w:sz w:val="33"/>
        </w:rPr>
        <w:t xml:space="preserve">含车辆购置 </w:t>
      </w:r>
      <w:r>
        <w:rPr>
          <w:spacing w:val="12"/>
          <w:sz w:val="33"/>
        </w:rPr>
        <w:t>税、牌照费）。</w:t>
      </w:r>
    </w:p>
    <w:p>
      <w:pPr>
        <w:spacing w:after="0" w:line="242" w:lineRule="auto"/>
        <w:jc w:val="both"/>
        <w:rPr>
          <w:sz w:val="33"/>
        </w:rPr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4"/>
        <w:spacing w:before="42" w:line="242" w:lineRule="auto"/>
        <w:ind w:left="100" w:right="377"/>
        <w:jc w:val="both"/>
      </w:pPr>
      <w:r>
        <w:rPr>
          <w:b/>
          <w:spacing w:val="4"/>
          <w:w w:val="95"/>
        </w:rPr>
        <w:t>（十六</w:t>
      </w:r>
      <w:r>
        <w:rPr>
          <w:b/>
          <w:w w:val="95"/>
        </w:rPr>
        <w:t>）</w:t>
      </w:r>
      <w:r>
        <w:rPr>
          <w:b/>
          <w:spacing w:val="3"/>
          <w:w w:val="95"/>
        </w:rPr>
        <w:t>机关运行经费：</w:t>
      </w:r>
      <w:r>
        <w:rPr>
          <w:w w:val="95"/>
        </w:rPr>
        <w:t xml:space="preserve">指为保障行政单位（包括参照公务 </w:t>
      </w:r>
      <w:r>
        <w:rPr>
          <w:spacing w:val="16"/>
          <w:w w:val="95"/>
        </w:rPr>
        <w:t>员法管理的事业单位</w:t>
      </w:r>
      <w:r>
        <w:rPr>
          <w:spacing w:val="19"/>
          <w:w w:val="95"/>
        </w:rPr>
        <w:t>）</w:t>
      </w:r>
      <w:r>
        <w:rPr>
          <w:spacing w:val="14"/>
          <w:w w:val="95"/>
        </w:rPr>
        <w:t xml:space="preserve">运行用于购买货物和服务的各项资 </w:t>
      </w:r>
      <w:r>
        <w:rPr>
          <w:spacing w:val="15"/>
          <w:w w:val="95"/>
        </w:rPr>
        <w:t xml:space="preserve">金，包括办公及印刷费、邮电费、差旅费、会议费、福利 </w:t>
      </w:r>
      <w:r>
        <w:t>费、日常维修费、专用材料以及一般设备购置费、办公用房水电费、办公用房取暖费、办公用房物业管理费、公务用车运行维护费以及其他费用。</w:t>
      </w:r>
    </w:p>
    <w:p>
      <w:pPr>
        <w:pStyle w:val="4"/>
        <w:spacing w:before="246" w:line="242" w:lineRule="auto"/>
        <w:ind w:left="100" w:right="375"/>
        <w:jc w:val="both"/>
      </w:pPr>
      <w:r>
        <w:rPr>
          <w:b/>
          <w:spacing w:val="11"/>
          <w:w w:val="95"/>
        </w:rPr>
        <w:t>（</w:t>
      </w:r>
      <w:r>
        <w:rPr>
          <w:b/>
          <w:spacing w:val="10"/>
          <w:w w:val="95"/>
        </w:rPr>
        <w:t>十七</w:t>
      </w:r>
      <w:r>
        <w:rPr>
          <w:b/>
          <w:spacing w:val="11"/>
          <w:w w:val="95"/>
        </w:rPr>
        <w:t>）</w:t>
      </w:r>
      <w:r>
        <w:rPr>
          <w:b/>
          <w:spacing w:val="9"/>
          <w:w w:val="95"/>
        </w:rPr>
        <w:t>经费形式:</w:t>
      </w:r>
      <w:r>
        <w:rPr>
          <w:spacing w:val="8"/>
          <w:w w:val="95"/>
        </w:rPr>
        <w:t xml:space="preserve">按照经费来源，可分为财政拨款、财政 </w:t>
      </w:r>
      <w:r>
        <w:t>性资金基本保证、财政性资金定额或定项补助、财政性资金零补助四类。</w:t>
      </w:r>
    </w:p>
    <w:p>
      <w:pPr>
        <w:spacing w:after="0" w:line="242" w:lineRule="auto"/>
        <w:jc w:val="both"/>
        <w:sectPr>
          <w:pgSz w:w="12240" w:h="15840"/>
          <w:pgMar w:top="1400" w:right="1420" w:bottom="280" w:left="170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17"/>
        </w:rPr>
      </w:pPr>
    </w:p>
    <w:p>
      <w:pPr>
        <w:pStyle w:val="2"/>
        <w:spacing w:line="922" w:lineRule="exact"/>
      </w:pPr>
      <w:r>
        <w:t>第四部分</w:t>
      </w:r>
    </w:p>
    <w:p>
      <w:pPr>
        <w:pStyle w:val="4"/>
        <w:spacing w:before="11"/>
        <w:rPr>
          <w:rFonts w:ascii="黑体"/>
          <w:sz w:val="59"/>
        </w:rPr>
      </w:pPr>
    </w:p>
    <w:p>
      <w:pPr>
        <w:spacing w:before="0"/>
        <w:ind w:left="0" w:right="280" w:firstLine="0"/>
        <w:jc w:val="center"/>
        <w:rPr>
          <w:rFonts w:hint="eastAsia" w:ascii="黑体" w:eastAsia="黑体"/>
          <w:sz w:val="72"/>
        </w:rPr>
      </w:pPr>
      <w:r>
        <w:rPr>
          <w:rFonts w:hint="eastAsia" w:ascii="黑体" w:eastAsia="黑体"/>
          <w:sz w:val="72"/>
        </w:rPr>
        <w:t>2019 年度部门决算报表</w:t>
      </w:r>
    </w:p>
    <w:p>
      <w:pPr>
        <w:spacing w:after="0"/>
        <w:jc w:val="center"/>
        <w:rPr>
          <w:rFonts w:hint="eastAsia" w:ascii="黑体" w:eastAsia="黑体"/>
          <w:sz w:val="72"/>
        </w:rPr>
        <w:sectPr>
          <w:pgSz w:w="12240" w:h="15840"/>
          <w:pgMar w:top="1500" w:right="1420" w:bottom="280" w:left="170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7"/>
        </w:rPr>
      </w:pPr>
    </w:p>
    <w:p>
      <w:pPr>
        <w:pStyle w:val="4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9020" cy="652208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334" cy="65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1140" w:right="1060" w:bottom="0" w:left="134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1143000</wp:posOffset>
            </wp:positionV>
            <wp:extent cx="8630285" cy="66294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412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right="1060" w:bottom="0" w:left="134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7"/>
        </w:rPr>
      </w:pPr>
    </w:p>
    <w:p>
      <w:pPr>
        <w:pStyle w:val="4"/>
        <w:ind w:left="3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00340" cy="630936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445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1140" w:right="1060" w:bottom="0" w:left="134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7"/>
        </w:rPr>
      </w:pPr>
    </w:p>
    <w:p>
      <w:pPr>
        <w:pStyle w:val="4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385810" cy="627443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026" cy="627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1140" w:right="1060" w:bottom="280" w:left="134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1143000</wp:posOffset>
            </wp:positionV>
            <wp:extent cx="7266305" cy="66294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4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top="1140" w:right="1060" w:bottom="0" w:left="134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3"/>
        <w:rPr>
          <w:rFonts w:ascii="Times New Roman"/>
          <w:sz w:val="22"/>
        </w:rPr>
      </w:pPr>
    </w:p>
    <w:p>
      <w:pPr>
        <w:pStyle w:val="4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178800" cy="477647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161" cy="477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1140" w:right="1060" w:bottom="280" w:left="134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7"/>
        </w:rPr>
      </w:pPr>
    </w:p>
    <w:p>
      <w:pPr>
        <w:pStyle w:val="4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190865" cy="456819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934" cy="45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1140" w:right="1060" w:bottom="280" w:left="134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7"/>
        </w:rPr>
      </w:pPr>
    </w:p>
    <w:p>
      <w:pPr>
        <w:pStyle w:val="4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177530" cy="473646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7984" cy="4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1140" w:right="1060" w:bottom="280" w:left="134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7"/>
        </w:rPr>
      </w:pPr>
    </w:p>
    <w:p>
      <w:pPr>
        <w:pStyle w:val="4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985760" cy="332295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115" cy="332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5840" w:h="12240" w:orient="landscape"/>
      <w:pgMar w:top="1140" w:right="1060" w:bottom="280" w:left="13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100" w:hanging="497"/>
        <w:jc w:val="left"/>
      </w:pPr>
      <w:rPr>
        <w:rFonts w:hint="default" w:ascii="仿宋" w:hAnsi="仿宋" w:eastAsia="仿宋" w:cs="仿宋"/>
        <w:spacing w:val="0"/>
        <w:w w:val="99"/>
        <w:sz w:val="33"/>
        <w:szCs w:val="33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02" w:hanging="49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4" w:hanging="49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06" w:hanging="49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08" w:hanging="49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10" w:hanging="49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12" w:hanging="49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14" w:hanging="49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16" w:hanging="497"/>
      </w:pPr>
      <w:rPr>
        <w:rFonts w:hint="default"/>
        <w:lang w:val="zh-CN" w:eastAsia="zh-CN" w:bidi="zh-CN"/>
      </w:rPr>
    </w:lvl>
  </w:abstractNum>
  <w:abstractNum w:abstractNumId="1">
    <w:nsid w:val="C2BCC6D8"/>
    <w:multiLevelType w:val="singleLevel"/>
    <w:tmpl w:val="C2BCC6D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596" w:hanging="497"/>
        <w:jc w:val="left"/>
      </w:pPr>
      <w:rPr>
        <w:rFonts w:hint="default" w:ascii="仿宋" w:hAnsi="仿宋" w:eastAsia="仿宋" w:cs="仿宋"/>
        <w:b/>
        <w:bCs/>
        <w:spacing w:val="0"/>
        <w:w w:val="98"/>
        <w:sz w:val="33"/>
        <w:szCs w:val="33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52" w:hanging="49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04" w:hanging="49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56" w:hanging="49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08" w:hanging="49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60" w:hanging="49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12" w:hanging="49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64" w:hanging="49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16" w:hanging="497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00" w:hanging="780"/>
        <w:jc w:val="left"/>
      </w:pPr>
      <w:rPr>
        <w:rFonts w:hint="default" w:ascii="仿宋" w:hAnsi="仿宋" w:eastAsia="仿宋" w:cs="仿宋"/>
        <w:spacing w:val="0"/>
        <w:w w:val="99"/>
        <w:sz w:val="33"/>
        <w:szCs w:val="33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02" w:hanging="78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4" w:hanging="78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06" w:hanging="78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08" w:hanging="78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10" w:hanging="78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12" w:hanging="78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14" w:hanging="78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16" w:hanging="78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2"/>
      <w:numFmt w:val="decimal"/>
      <w:lvlText w:val="%1."/>
      <w:lvlJc w:val="left"/>
      <w:pPr>
        <w:ind w:left="100" w:hanging="720"/>
        <w:jc w:val="left"/>
      </w:pPr>
      <w:rPr>
        <w:rFonts w:hint="default" w:ascii="仿宋" w:hAnsi="仿宋" w:eastAsia="仿宋" w:cs="仿宋"/>
        <w:spacing w:val="0"/>
        <w:w w:val="99"/>
        <w:sz w:val="33"/>
        <w:szCs w:val="33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02" w:hanging="7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4" w:hanging="7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06" w:hanging="7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08" w:hanging="7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10" w:hanging="7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12" w:hanging="7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14" w:hanging="7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16" w:hanging="72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355D6A"/>
    <w:rsid w:val="2E735F80"/>
    <w:rsid w:val="3CE40A1B"/>
    <w:rsid w:val="3F6031D5"/>
    <w:rsid w:val="4F320685"/>
    <w:rsid w:val="60715596"/>
    <w:rsid w:val="6FAE57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right="279"/>
      <w:jc w:val="center"/>
      <w:outlineLvl w:val="1"/>
    </w:pPr>
    <w:rPr>
      <w:rFonts w:ascii="黑体" w:hAnsi="黑体" w:eastAsia="黑体" w:cs="黑体"/>
      <w:sz w:val="72"/>
      <w:szCs w:val="7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100"/>
      <w:outlineLvl w:val="2"/>
    </w:pPr>
    <w:rPr>
      <w:rFonts w:ascii="宋体" w:hAnsi="宋体" w:eastAsia="宋体" w:cs="宋体"/>
      <w:b/>
      <w:bCs/>
      <w:sz w:val="33"/>
      <w:szCs w:val="33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33"/>
      <w:szCs w:val="33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244"/>
      <w:ind w:left="100"/>
    </w:pPr>
    <w:rPr>
      <w:rFonts w:ascii="仿宋" w:hAnsi="仿宋" w:eastAsia="仿宋" w:cs="仿宋"/>
      <w:lang w:val="zh-CN" w:eastAsia="zh-CN" w:bidi="zh-CN"/>
    </w:rPr>
  </w:style>
  <w:style w:type="paragraph" w:customStyle="1" w:styleId="9">
    <w:name w:val="Table Paragraph"/>
    <w:basedOn w:val="1"/>
    <w:qFormat/>
    <w:uiPriority w:val="1"/>
    <w:pPr>
      <w:spacing w:before="1"/>
      <w:ind w:left="119"/>
    </w:pPr>
    <w:rPr>
      <w:rFonts w:ascii="Times New Roman" w:hAnsi="Times New Roman" w:eastAsia="Times New Roman" w:cs="Times New Roman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2021-05-31T03:11:00Z</dcterms:created>
  <dc:creator>AAA~麦哈童装</dc:creator>
  <cp:lastModifiedBy>Administrator</cp:lastModifiedBy>
  <dcterms:modified xsi:type="dcterms:W3CDTF">2021-06-01T03:21:23Z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2021-05-31T00:00:00Z</vt:filetime>
  </property>
  <property fmtid="{D5CDD505-2E9C-101B-9397-08002B2CF9AE}" pid="5" name="KSOProductBuildVer">
    <vt:lpwstr>2052-11.1.0.10495</vt:lpwstr>
  </property>
  <property fmtid="{D5CDD505-2E9C-101B-9397-08002B2CF9AE}" pid="6" name="ICV">
    <vt:lpwstr>03D5E46A7F3B4B8F8B00CD32BC14D850</vt:lpwstr>
  </property>
</Properties>
</file>